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471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закупочной комиссии</w:t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«02</w:t>
            </w:r>
            <w:r>
              <w:rPr>
                <w:color w:val="000000"/>
              </w:rPr>
              <w:t xml:space="preserve">» июня 2026 г.</w:t>
            </w:r>
            <w:r>
              <w:rPr>
                <w:color w:val="000000"/>
              </w:rPr>
            </w:r>
          </w:p>
        </w:tc>
      </w:tr>
    </w:tbl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left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7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</w:p>
    <w:p>
      <w:pPr>
        <w:jc w:val="center"/>
        <w:spacing w:after="120"/>
      </w:pPr>
      <w:r>
        <w:t xml:space="preserve">на </w:t>
      </w:r>
      <w:r>
        <w:t xml:space="preserve">право заключения рамочного договора на </w:t>
      </w:r>
      <w:r>
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 (Лот № 1.1.17р)</w:t>
      </w:r>
      <w:r/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334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Калининград</w:t>
      </w:r>
      <w:r>
        <w:rPr>
          <w:bCs/>
        </w:rPr>
        <w:br/>
      </w:r>
      <w:r>
        <w:rPr>
          <w:b/>
          <w:bCs/>
        </w:rPr>
        <w:t xml:space="preserve">2026 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</w:p>
    <w:p>
      <w:pPr>
        <w:pStyle w:val="1140"/>
        <w:ind w:left="567" w:firstLine="0"/>
        <w:keepNext w:val="0"/>
        <w:spacing w:before="0" w:after="0"/>
        <w:tabs>
          <w:tab w:val="clear" w:pos="432" w:leader="none"/>
        </w:tabs>
        <w:rPr>
          <w:rStyle w:val="1311"/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/>
      <w:bookmarkStart w:id="0" w:name="_Toc1"/>
      <w:r>
        <w:rPr>
          <w:rStyle w:val="1311"/>
          <w:rFonts w:ascii="Times New Roman" w:hAnsi="Times New Roman" w:cs="Times New Roman"/>
          <w:caps/>
          <w:color w:val="auto"/>
          <w:sz w:val="24"/>
          <w:szCs w:val="24"/>
        </w:rPr>
        <w:t xml:space="preserve">СОДЕРЖАНИЕ</w:t>
      </w:r>
      <w:bookmarkEnd w:id="0"/>
      <w:r/>
      <w:r>
        <w:rPr>
          <w:rStyle w:val="1311"/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330"/>
        <w:rPr>
          <w:rStyle w:val="1311"/>
          <w:rFonts w:ascii="Times New Roman" w:hAnsi="Times New Roman" w:cs="Times New Roman"/>
        </w:rPr>
      </w:pPr>
      <w:r>
        <w:rPr>
          <w:i/>
          <w:iCs/>
          <w:smallCaps/>
          <w:sz w:val="24"/>
          <w:szCs w:val="24"/>
        </w:rPr>
        <w:fldChar w:fldCharType="begin"/>
      </w:r>
      <w:r>
        <w:rPr>
          <w:i/>
          <w:iCs/>
          <w:smallCaps/>
          <w:sz w:val="24"/>
          <w:szCs w:val="24"/>
        </w:rPr>
        <w:instrText xml:space="preserve"> TOC \o "1-2" \h \z \u </w:instrText>
      </w:r>
      <w:r>
        <w:rPr>
          <w:i/>
          <w:iCs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360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/>
      <w:r>
        <w:rPr>
          <w:rStyle w:val="1311"/>
          <w:rFonts w:ascii="Times New Roman" w:hAnsi="Times New Roman" w:cs="Times New Roman"/>
        </w:rPr>
      </w:r>
    </w:p>
    <w:p>
      <w:pPr>
        <w:pStyle w:val="1330"/>
        <w:tabs>
          <w:tab w:val="left" w:pos="567" w:leader="none"/>
        </w:tabs>
        <w:rPr>
          <w:rStyle w:val="1311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360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Style w:val="1311"/>
        </w:rPr>
      </w:r>
    </w:p>
    <w:p>
      <w:pPr>
        <w:pStyle w:val="1330"/>
        <w:tabs>
          <w:tab w:val="left" w:pos="567" w:leader="none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360"/>
          </w:rPr>
          <w:t xml:space="preserve">ОБЩИЕ ПОЛ</w:t>
        </w:r>
        <w:r>
          <w:rPr>
            <w:rStyle w:val="1360"/>
          </w:rPr>
          <w:t xml:space="preserve">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360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360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360"/>
          </w:rPr>
          <w:t xml:space="preserve">Начальная (максимальная) цена договора (цена лота) 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360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360"/>
          </w:rPr>
          <w:t xml:space="preserve">Привлечение соисполнителей (субподрядчиков)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360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360"/>
          </w:rPr>
  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</w:t>
        </w:r>
        <w:r>
          <w:rPr>
            <w:rStyle w:val="1360"/>
          </w:rPr>
          <w:t xml:space="preserve">ов, работ, услуг отдельными видами юридических лиц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11" w:anchor="_Toc11" w:history="1">
        <w:r>
          <w:t xml:space="preserve">1.8.</w:t>
        </w:r>
        <w:r>
          <w:tab/>
        </w:r>
        <w:r>
          <w:rPr>
            <w:rStyle w:val="1360"/>
          </w:rPr>
          <w:t xml:space="preserve">Антимонопольная оговорка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30"/>
        <w:tabs>
          <w:tab w:val="left" w:pos="567" w:leader="none"/>
        </w:tabs>
      </w:pPr>
      <w:r/>
      <w:hyperlink w:tooltip="#_Toc12" w:anchor="_Toc12" w:history="1">
        <w:r>
          <w:t xml:space="preserve">2.</w:t>
        </w:r>
        <w:r>
          <w:tab/>
        </w:r>
        <w:r>
          <w:rPr>
            <w:rStyle w:val="1360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13" w:anchor="_Toc13" w:history="1">
        <w:r>
          <w:t xml:space="preserve">2.1.</w:t>
        </w:r>
        <w:r>
          <w:tab/>
        </w:r>
        <w:r>
          <w:rPr>
            <w:rStyle w:val="1360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</w:instrText>
        </w:r>
        <w:r>
          <w:instrText xml:space="preserve">_Toc13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14" w:anchor="_Toc14" w:history="1">
        <w:r>
          <w:t xml:space="preserve">2.2.</w:t>
        </w:r>
        <w:r>
          <w:tab/>
        </w:r>
        <w:r>
          <w:rPr>
            <w:rStyle w:val="1360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15" w:anchor="_Toc15" w:history="1">
        <w:r>
          <w:t xml:space="preserve">2.3.</w:t>
        </w:r>
        <w:r>
          <w:tab/>
        </w:r>
        <w:r>
          <w:rPr>
            <w:rStyle w:val="1360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16" w:anchor="_Toc16" w:history="1">
        <w:r>
          <w:t xml:space="preserve">2.4.</w:t>
        </w:r>
        <w:r>
          <w:tab/>
        </w:r>
        <w:r>
          <w:rPr>
            <w:rStyle w:val="1360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</w:instrText>
        </w:r>
        <w:r>
          <w:instrText xml:space="preserve">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30"/>
        <w:tabs>
          <w:tab w:val="left" w:pos="567" w:leader="none"/>
        </w:tabs>
      </w:pPr>
      <w:r/>
      <w:hyperlink w:tooltip="#_Toc17" w:anchor="_Toc17" w:history="1">
        <w:r>
          <w:t xml:space="preserve">3.</w:t>
        </w:r>
        <w:r>
          <w:tab/>
        </w:r>
        <w:r>
          <w:rPr>
            <w:rStyle w:val="1360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18" w:anchor="_Toc18" w:history="1">
        <w:r>
          <w:t xml:space="preserve">3.1.</w:t>
        </w:r>
        <w:r>
          <w:tab/>
        </w:r>
        <w:r>
          <w:rPr>
            <w:rStyle w:val="1360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19" w:anchor="_Toc19" w:history="1">
        <w:r>
          <w:t xml:space="preserve">3.2.</w:t>
        </w:r>
        <w:r>
          <w:tab/>
        </w:r>
        <w:r>
          <w:rPr>
            <w:rStyle w:val="1360"/>
          </w:rPr>
          <w:t xml:space="preserve">Язык документов, входящих в состав заявки на</w:t>
        </w:r>
        <w:r>
          <w:rPr>
            <w:rStyle w:val="1360"/>
          </w:rPr>
          <w:t xml:space="preserve"> участие в закупке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20" w:anchor="_Toc20" w:history="1">
        <w:r>
          <w:t xml:space="preserve">3.3.</w:t>
        </w:r>
        <w:r>
          <w:tab/>
        </w:r>
        <w:r>
          <w:rPr>
            <w:rStyle w:val="1360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21" w:anchor="_Toc21" w:history="1">
        <w:r>
          <w:t xml:space="preserve">3.4.</w:t>
        </w:r>
        <w:r>
          <w:tab/>
        </w:r>
        <w:r>
          <w:rPr>
            <w:rStyle w:val="1360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22" w:anchor="_Toc22" w:history="1">
        <w:r>
          <w:t xml:space="preserve">3.5.</w:t>
        </w:r>
        <w:r>
          <w:tab/>
        </w:r>
        <w:r>
          <w:rPr>
            <w:rStyle w:val="1360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23" w:anchor="_Toc23" w:history="1">
        <w:r>
          <w:t xml:space="preserve">3.6.</w:t>
        </w:r>
        <w:r>
          <w:tab/>
        </w:r>
        <w:r>
          <w:rPr>
            <w:rStyle w:val="1360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24" w:anchor="_Toc24" w:history="1">
        <w:r>
          <w:t xml:space="preserve">3.7.</w:t>
        </w:r>
        <w:r>
          <w:tab/>
        </w:r>
        <w:r>
          <w:rPr>
            <w:rStyle w:val="1360"/>
          </w:rPr>
  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1330"/>
        <w:tabs>
          <w:tab w:val="left" w:pos="567" w:leader="none"/>
        </w:tabs>
      </w:pPr>
      <w:r/>
      <w:hyperlink w:tooltip="#_Toc25" w:anchor="_Toc25" w:history="1">
        <w:r>
          <w:t xml:space="preserve">4.</w:t>
        </w:r>
        <w:r>
          <w:tab/>
        </w:r>
        <w:r>
          <w:rPr>
            <w:rStyle w:val="1360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26" w:anchor="_Toc26" w:history="1">
        <w:r>
          <w:t xml:space="preserve">4.1</w:t>
        </w:r>
        <w:r>
          <w:t xml:space="preserve">.</w:t>
        </w:r>
        <w:r>
          <w:tab/>
        </w:r>
        <w:r>
          <w:rPr>
            <w:rStyle w:val="1360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27" w:anchor="_Toc27" w:history="1">
        <w:r>
          <w:t xml:space="preserve">4.2.</w:t>
        </w:r>
        <w:r>
          <w:tab/>
        </w:r>
        <w:r>
          <w:rPr>
            <w:rStyle w:val="1360"/>
          </w:rPr>
          <w:t xml:space="preserve">Изменения и отзыв заявок на участие в закупк</w:t>
        </w:r>
        <w:r>
          <w:rPr>
            <w:rStyle w:val="1360"/>
          </w:rPr>
          <w:t xml:space="preserve">е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0"/>
        <w:tabs>
          <w:tab w:val="left" w:pos="567" w:leader="none"/>
        </w:tabs>
      </w:pPr>
      <w:r/>
      <w:hyperlink w:tooltip="#_Toc28" w:anchor="_Toc28" w:history="1">
        <w:r>
          <w:t xml:space="preserve">5.</w:t>
        </w:r>
        <w:r>
          <w:tab/>
        </w:r>
        <w:r>
          <w:rPr>
            <w:rStyle w:val="1360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29" w:anchor="_Toc29" w:history="1">
        <w:r>
          <w:t xml:space="preserve">5.1.</w:t>
        </w:r>
        <w:r>
          <w:tab/>
        </w:r>
        <w:r>
          <w:rPr>
            <w:rStyle w:val="1360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30" w:anchor="_Toc30" w:history="1">
        <w:r>
          <w:t xml:space="preserve">5.2.</w:t>
        </w:r>
        <w:r>
          <w:tab/>
        </w:r>
        <w:r>
          <w:rPr>
            <w:rStyle w:val="1360"/>
          </w:rPr>
          <w:t xml:space="preserve">Требования к процедуре рассмотрения, оценки и сопоставления заявок уча</w:t>
        </w:r>
        <w:r>
          <w:rPr>
            <w:rStyle w:val="1360"/>
          </w:rPr>
          <w:t xml:space="preserve">стников закупки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31" w:anchor="_Toc31" w:history="1">
        <w:r>
          <w:t xml:space="preserve">5.3.</w:t>
        </w:r>
        <w:r>
          <w:tab/>
        </w:r>
        <w:r>
          <w:rPr>
            <w:rStyle w:val="1360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32" w:anchor="_Toc32" w:history="1">
        <w:r>
          <w:t xml:space="preserve">5.4.</w:t>
        </w:r>
        <w:r>
          <w:tab/>
        </w:r>
        <w:r>
          <w:rPr>
            <w:rStyle w:val="1360"/>
          </w:rPr>
          <w:t xml:space="preserve">Особенности осуществления рассмотрения общих частей заявок.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33" w:anchor="_Toc33" w:history="1">
        <w:r>
          <w:t xml:space="preserve">5.5.</w:t>
        </w:r>
        <w:r>
          <w:tab/>
        </w:r>
        <w:r>
          <w:rPr>
            <w:rStyle w:val="1360"/>
          </w:rPr>
          <w:t xml:space="preserve">Особенности осуществле</w:t>
        </w:r>
        <w:r>
          <w:rPr>
            <w:rStyle w:val="1360"/>
          </w:rPr>
          <w:t xml:space="preserve">ния рассмотрения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34" w:anchor="_Toc34" w:history="1">
        <w:r>
          <w:t xml:space="preserve">5.6.</w:t>
        </w:r>
        <w:r>
          <w:tab/>
        </w:r>
        <w:r>
          <w:rPr>
            <w:rStyle w:val="1360"/>
          </w:rPr>
          <w:t xml:space="preserve">Переторжка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35" w:anchor="_Toc35" w:history="1">
        <w:r>
          <w:t xml:space="preserve">5.7.</w:t>
        </w:r>
        <w:r>
          <w:tab/>
        </w:r>
        <w:r>
          <w:rPr>
            <w:rStyle w:val="1360"/>
          </w:rPr>
          <w:t xml:space="preserve">Подведение итогов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36" w:anchor="_Toc36" w:history="1">
        <w:r>
          <w:t xml:space="preserve">5.8.</w:t>
        </w:r>
        <w:r>
          <w:tab/>
        </w:r>
        <w:r>
          <w:rPr>
            <w:rStyle w:val="1360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37" w:anchor="_Toc37" w:history="1">
        <w:r>
          <w:t xml:space="preserve">5.9.</w:t>
        </w:r>
        <w:r>
          <w:tab/>
        </w:r>
        <w:r>
          <w:rPr>
            <w:rStyle w:val="1360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30"/>
        <w:tabs>
          <w:tab w:val="left" w:pos="567" w:leader="none"/>
        </w:tabs>
      </w:pPr>
      <w:r/>
      <w:hyperlink w:tooltip="#_Toc38" w:anchor="_Toc38" w:history="1">
        <w:r>
          <w:t xml:space="preserve">6.</w:t>
        </w:r>
        <w:r>
          <w:tab/>
        </w:r>
        <w:r>
          <w:rPr>
            <w:rStyle w:val="1360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39" w:anchor="_Toc39" w:history="1">
        <w:r>
          <w:t xml:space="preserve">6.1.</w:t>
        </w:r>
        <w:r>
          <w:tab/>
        </w:r>
        <w:r>
          <w:rPr>
            <w:rStyle w:val="1360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</w:instrText>
        </w:r>
        <w:r>
          <w:instrText xml:space="preserve">c39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40" w:anchor="_Toc40" w:history="1">
        <w:r>
          <w:t xml:space="preserve">6.2.</w:t>
        </w:r>
        <w:r>
          <w:tab/>
        </w:r>
        <w:r>
          <w:rPr>
            <w:rStyle w:val="1360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41" w:anchor="_Toc41" w:history="1">
        <w:r>
          <w:t xml:space="preserve">6.3.</w:t>
        </w:r>
        <w:r>
          <w:tab/>
        </w:r>
        <w:r>
          <w:rPr>
            <w:rStyle w:val="1360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42" w:anchor="_Toc42" w:history="1">
        <w:r>
          <w:t xml:space="preserve">6.4.</w:t>
        </w:r>
        <w:r>
          <w:tab/>
        </w:r>
        <w:r>
          <w:rPr>
            <w:rStyle w:val="1360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43" w:anchor="_Toc43" w:history="1">
        <w:r>
          <w:t xml:space="preserve">6.5.</w:t>
        </w:r>
        <w:r>
          <w:tab/>
        </w:r>
        <w:r>
          <w:rPr>
            <w:rStyle w:val="1360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/>
      <w:r/>
    </w:p>
    <w:p>
      <w:pPr>
        <w:pStyle w:val="1331"/>
        <w:tabs>
          <w:tab w:val="left" w:pos="850" w:leader="none"/>
        </w:tabs>
      </w:pPr>
      <w:r/>
      <w:hyperlink w:tooltip="#_Toc44" w:anchor="_Toc44" w:history="1">
        <w:r>
          <w:t xml:space="preserve">6.6.</w:t>
        </w:r>
        <w:r>
          <w:tab/>
        </w:r>
        <w:r>
          <w:rPr>
            <w:rStyle w:val="1360"/>
          </w:rPr>
          <w:t xml:space="preserve">Закупка продукции с разбиением заказа на лоты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/>
      <w:r/>
    </w:p>
    <w:p>
      <w:pPr>
        <w:pStyle w:val="1330"/>
        <w:tabs>
          <w:tab w:val="left" w:pos="567" w:leader="none"/>
        </w:tabs>
        <w:rPr>
          <w:rStyle w:val="1311"/>
          <w:rFonts w:ascii="Times New Roman" w:hAnsi="Times New Roman" w:cs="Times New Roman"/>
        </w:rPr>
      </w:pPr>
      <w:r/>
      <w:hyperlink w:tooltip="#_Toc45" w:anchor="_Toc45" w:history="1">
        <w:r>
          <w:t xml:space="preserve">II.</w:t>
        </w:r>
        <w:r>
          <w:tab/>
        </w:r>
        <w:r>
          <w:rPr>
            <w:rStyle w:val="1360"/>
          </w:rPr>
          <w:t xml:space="preserve">ИНФОРМАЦИО</w:t>
        </w:r>
        <w:r>
          <w:rPr>
            <w:rStyle w:val="1360"/>
          </w:rPr>
          <w:t xml:space="preserve">Н</w:t>
        </w:r>
        <w:r>
          <w:rPr>
            <w:rStyle w:val="1360"/>
          </w:rPr>
          <w:t xml:space="preserve">НАЯ КАРТА ЗАКУПКИ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/>
      <w:r>
        <w:rPr>
          <w:rStyle w:val="1311"/>
          <w:rFonts w:ascii="Times New Roman" w:hAnsi="Times New Roman" w:cs="Times New Roman"/>
        </w:rPr>
      </w:r>
    </w:p>
    <w:p>
      <w:pPr>
        <w:pStyle w:val="1330"/>
        <w:tabs>
          <w:tab w:val="left" w:pos="567" w:leader="none"/>
        </w:tabs>
        <w:rPr>
          <w:rStyle w:val="1311"/>
          <w:rFonts w:ascii="Times New Roman" w:hAnsi="Times New Roman" w:cs="Times New Roman"/>
        </w:rPr>
      </w:pPr>
      <w:r/>
      <w:hyperlink w:tooltip="#_Toc46" w:anchor="_Toc46" w:history="1">
        <w:r>
          <w:t xml:space="preserve">III.</w:t>
        </w:r>
        <w:r>
          <w:tab/>
        </w:r>
        <w:r>
          <w:rPr>
            <w:rStyle w:val="1360"/>
          </w:rPr>
          <w:t xml:space="preserve">ОБРАЗЦЫ ФОРМ ДЛЯ ЗАПОЛНЕНИЯ УЧАСТНИКАМИ ЗАКУПКИ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4</w:t>
        </w:r>
        <w:r>
          <w:t xml:space="preserve">9</w:t>
        </w:r>
        <w:r>
          <w:fldChar w:fldCharType="end"/>
        </w:r>
      </w:hyperlink>
      <w:r/>
      <w:r>
        <w:rPr>
          <w:rStyle w:val="1311"/>
          <w:rFonts w:ascii="Times New Roman" w:hAnsi="Times New Roman" w:cs="Times New Roman"/>
        </w:rPr>
      </w:r>
    </w:p>
    <w:p>
      <w:pPr>
        <w:pStyle w:val="1331"/>
      </w:pPr>
      <w:r/>
      <w:hyperlink w:tooltip="#_Toc47" w:anchor="_Toc47" w:history="1">
        <w:r>
          <w:rPr>
            <w:rStyle w:val="1360"/>
          </w:rPr>
          <w:t xml:space="preserve">ФОРМА ТЕХНИЧЕСКОЕ ПРЕДЛОЖЕНИЕ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49</w:t>
        </w:r>
        <w:r>
          <w:fldChar w:fldCharType="end"/>
        </w:r>
      </w:hyperlink>
      <w:r/>
      <w:r/>
    </w:p>
    <w:p>
      <w:pPr>
        <w:pStyle w:val="1331"/>
      </w:pPr>
      <w:r/>
      <w:hyperlink w:tooltip="#_Toc48" w:anchor="_Toc48" w:history="1">
        <w:r>
          <w:rPr>
            <w:rStyle w:val="1360"/>
          </w:rPr>
          <w:t xml:space="preserve">ФОРМА</w:t>
        </w:r>
        <w:r>
          <w:rPr>
            <w:rStyle w:val="1360"/>
          </w:rPr>
          <w:t xml:space="preserve"> ПИСЬМО О ПОДАЧЕ ОФЕРТЫ</w:t>
        </w:r>
        <w:r>
          <w:tab/>
        </w:r>
        <w:r>
          <w:fldChar w:fldCharType="begin"/>
        </w:r>
        <w:r>
          <w:instrText xml:space="preserve">PAGEREF _Toc48 \h</w:instrText>
        </w:r>
        <w:r>
          <w:fldChar w:fldCharType="separate"/>
        </w:r>
        <w:r>
          <w:t xml:space="preserve">50</w:t>
        </w:r>
        <w:r>
          <w:fldChar w:fldCharType="end"/>
        </w:r>
      </w:hyperlink>
      <w:r/>
      <w:r/>
    </w:p>
    <w:p>
      <w:pPr>
        <w:pStyle w:val="1331"/>
      </w:pPr>
      <w:r/>
      <w:hyperlink w:tooltip="#_Toc49" w:anchor="_Toc49" w:history="1">
        <w:r>
          <w:rPr>
            <w:rStyle w:val="1360"/>
          </w:rPr>
          <w:t xml:space="preserve">ФОРМА ПЛАН РАСПРЕДЕЛЕНИЯ ОБЪЕМОВ ВЫПОЛНЕНИЯ РАБОТ/ОКАЗАНИЯ УСЛУГ МЕЖДУ ЧЛЕНАМИ КОЛЛЕКТИВНОГО УЧАСТНИКА (КОНСОРЦИУ</w:t>
        </w:r>
        <w:r>
          <w:rPr>
            <w:rStyle w:val="1360"/>
          </w:rPr>
          <w:t xml:space="preserve">МА, ПРОСТОГО ТОВАРИЩЕСТВА)</w:t>
        </w:r>
        <w:r>
          <w:tab/>
        </w:r>
        <w:r>
          <w:fldChar w:fldCharType="begin"/>
        </w:r>
        <w:r>
          <w:instrText xml:space="preserve">PAGEREF _Toc49 \h</w:instrText>
        </w:r>
        <w:r>
          <w:fldChar w:fldCharType="separate"/>
        </w:r>
        <w:r>
          <w:t xml:space="preserve">53</w:t>
        </w:r>
        <w:r>
          <w:fldChar w:fldCharType="end"/>
        </w:r>
      </w:hyperlink>
      <w:r/>
      <w:r/>
    </w:p>
    <w:p>
      <w:pPr>
        <w:pStyle w:val="1331"/>
      </w:pPr>
      <w:r/>
      <w:hyperlink w:tooltip="#_Toc50" w:anchor="_Toc50" w:history="1">
        <w:r>
          <w:rPr>
            <w:rStyle w:val="1360"/>
          </w:rPr>
          <w:t xml:space="preserve">ФОРМА АНКЕТА УЧАСТНИКА ЗАКУПКИ</w:t>
        </w:r>
        <w:r>
          <w:tab/>
        </w:r>
        <w:r>
          <w:fldChar w:fldCharType="begin"/>
        </w:r>
        <w:r>
          <w:instrText xml:space="preserve">PAGEREF _Toc50 \h</w:instrText>
        </w:r>
        <w:r>
          <w:fldChar w:fldCharType="separate"/>
        </w:r>
        <w:r>
          <w:t xml:space="preserve">55</w:t>
        </w:r>
        <w:r>
          <w:fldChar w:fldCharType="end"/>
        </w:r>
      </w:hyperlink>
      <w:r/>
      <w:r/>
    </w:p>
    <w:p>
      <w:pPr>
        <w:pStyle w:val="1331"/>
      </w:pPr>
      <w:r/>
      <w:hyperlink w:tooltip="#_Toc51" w:anchor="_Toc51" w:history="1">
        <w:r>
          <w:rPr>
            <w:rStyle w:val="1360"/>
          </w:rPr>
  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  </w:r>
        <w:r>
          <w:tab/>
        </w:r>
        <w:r>
          <w:fldChar w:fldCharType="begin"/>
        </w:r>
        <w:r>
          <w:instrText xml:space="preserve">PAGEREF _Toc51 \h</w:instrText>
        </w:r>
        <w:r>
          <w:fldChar w:fldCharType="separate"/>
        </w:r>
        <w:r>
          <w:t xml:space="preserve">59</w:t>
        </w:r>
        <w:r>
          <w:fldChar w:fldCharType="end"/>
        </w:r>
      </w:hyperlink>
      <w:r/>
      <w:r/>
    </w:p>
    <w:p>
      <w:pPr>
        <w:pStyle w:val="1331"/>
      </w:pPr>
      <w:r/>
      <w:hyperlink w:tooltip="#_Toc52" w:anchor="_Toc52" w:history="1">
        <w:r>
          <w:rPr>
            <w:rStyle w:val="1360"/>
          </w:rPr>
          <w:t xml:space="preserve">ФОРМА СПРАВКА (ИНФОРМАЦИЯ) О СОБСТВЕННИКАХ УЧАСТНИКА ЗАКУПКИ (ВКЛЮЧАЯ КОНЕЧНЫХ БЕНЕФИЦИАРОВ)</w:t>
        </w:r>
        <w:r>
          <w:tab/>
        </w:r>
        <w:r>
          <w:fldChar w:fldCharType="begin"/>
        </w:r>
        <w:r>
          <w:instrText xml:space="preserve">PAGEREF _Toc52 \h</w:instrText>
        </w:r>
        <w:r>
          <w:fldChar w:fldCharType="separate"/>
        </w:r>
        <w:r>
          <w:t xml:space="preserve">60</w:t>
        </w:r>
        <w:r>
          <w:fldChar w:fldCharType="end"/>
        </w:r>
      </w:hyperlink>
      <w:r/>
      <w:r/>
    </w:p>
    <w:p>
      <w:pPr>
        <w:pStyle w:val="1331"/>
      </w:pPr>
      <w:r/>
      <w:hyperlink w:tooltip="#_Toc53" w:anchor="_Toc53" w:history="1">
        <w:r>
          <w:rPr>
            <w:rStyle w:val="1360"/>
          </w:rPr>
          <w:t xml:space="preserve">ФОРМА СОГЛАСИЕ НА ОБРАБОТКУ ПЕРСОНАЛЬНЫХ ДАННЫХ</w:t>
        </w:r>
        <w:r>
          <w:tab/>
        </w:r>
        <w:r>
          <w:fldChar w:fldCharType="begin"/>
        </w:r>
        <w:r>
          <w:instrText xml:space="preserve">PAGEREF _Toc53 \h</w:instrText>
        </w:r>
        <w:r>
          <w:fldChar w:fldCharType="separate"/>
        </w:r>
        <w:r>
          <w:t xml:space="preserve">65</w:t>
        </w:r>
        <w:r>
          <w:fldChar w:fldCharType="end"/>
        </w:r>
      </w:hyperlink>
      <w:r/>
      <w:r/>
    </w:p>
    <w:p>
      <w:pPr>
        <w:pStyle w:val="1331"/>
      </w:pPr>
      <w:r/>
      <w:hyperlink w:tooltip="#_Toc54" w:anchor="_Toc54" w:history="1">
        <w:r>
          <w:rPr>
            <w:rStyle w:val="1360"/>
          </w:rPr>
          <w:t xml:space="preserve">ФОРМА АНТИКОРРУПЦИОННЫЕ ОБЯЗА</w:t>
        </w:r>
        <w:r>
          <w:rPr>
            <w:rStyle w:val="1360"/>
          </w:rPr>
          <w:t xml:space="preserve">ТЕЛЬСТВА</w:t>
        </w:r>
        <w:r>
          <w:tab/>
        </w:r>
        <w:r>
          <w:fldChar w:fldCharType="begin"/>
        </w:r>
        <w:r>
          <w:instrText xml:space="preserve">PAGEREF _Toc54 \h</w:instrText>
        </w:r>
        <w:r>
          <w:fldChar w:fldCharType="separate"/>
        </w:r>
        <w:r>
          <w:t xml:space="preserve">67</w:t>
        </w:r>
        <w:r>
          <w:fldChar w:fldCharType="end"/>
        </w:r>
      </w:hyperlink>
      <w:r/>
      <w:r/>
    </w:p>
    <w:p>
      <w:pPr>
        <w:pStyle w:val="1331"/>
        <w:rPr>
          <w:highlight w:val="white"/>
        </w:rPr>
      </w:pPr>
      <w:r/>
      <w:hyperlink w:tooltip="#_Toc55" w:anchor="_Toc55" w:history="1">
        <w:r>
          <w:rPr>
            <w:rStyle w:val="1360"/>
            <w:highlight w:val="white"/>
          </w:rPr>
          <w:t xml:space="preserve">ФОРМА СПРАВКА О ПЕРЕЧНЕ И ОБЪЕМАХ ВЫПОЛНЕНИЯ АНАЛОГИЧНЫХ ДОГОВОРОВ</w:t>
        </w:r>
        <w:r>
          <w:tab/>
        </w:r>
        <w:r>
          <w:fldChar w:fldCharType="begin"/>
        </w:r>
        <w:r>
          <w:instrText xml:space="preserve">PAGEREF _Toc55 \h</w:instrText>
        </w:r>
        <w:r>
          <w:fldChar w:fldCharType="separate"/>
        </w:r>
        <w:r>
          <w:t xml:space="preserve">70</w:t>
        </w:r>
        <w:r>
          <w:fldChar w:fldCharType="end"/>
        </w:r>
      </w:hyperlink>
      <w:r/>
      <w:r>
        <w:rPr>
          <w:highlight w:val="white"/>
        </w:rPr>
      </w:r>
    </w:p>
    <w:p>
      <w:pPr>
        <w:pStyle w:val="1331"/>
        <w:rPr>
          <w:rFonts w:eastAsiaTheme="majorEastAsia"/>
          <w:highlight w:val="white"/>
        </w:rPr>
      </w:pPr>
      <w:r/>
      <w:hyperlink w:tooltip="#_Toc56" w:anchor="_Toc56" w:history="1">
        <w:r>
          <w:rPr>
            <w:rStyle w:val="1360"/>
            <w:highlight w:val="white"/>
          </w:rPr>
          <w:t xml:space="preserve">ФОРМА КОММЕРЧЕСКОЕ ПРЕДЛОЖЕНИЕ</w:t>
        </w:r>
        <w:r>
          <w:tab/>
        </w:r>
        <w:r>
          <w:fldChar w:fldCharType="begin"/>
        </w:r>
        <w:r>
          <w:instrText xml:space="preserve">PAGEREF _Toc56 \h</w:instrText>
        </w:r>
        <w:r>
          <w:fldChar w:fldCharType="separate"/>
        </w:r>
        <w:r>
          <w:t xml:space="preserve">72</w:t>
        </w:r>
        <w:r>
          <w:fldChar w:fldCharType="end"/>
        </w:r>
      </w:hyperlink>
      <w:r/>
      <w:r>
        <w:rPr>
          <w:rFonts w:eastAsiaTheme="majorEastAsia"/>
          <w:highlight w:val="white"/>
        </w:rPr>
      </w:r>
    </w:p>
    <w:p>
      <w:pPr>
        <w:pStyle w:val="1330"/>
        <w:tabs>
          <w:tab w:val="left" w:pos="567" w:leader="none"/>
        </w:tabs>
        <w:rPr>
          <w:rStyle w:val="1311"/>
          <w:rFonts w:ascii="Times New Roman" w:hAnsi="Times New Roman" w:cs="Times New Roman"/>
        </w:rPr>
      </w:pPr>
      <w:r/>
      <w:hyperlink w:tooltip="#_Toc57" w:anchor="_Toc57" w:history="1">
        <w:r>
          <w:t xml:space="preserve">IV.</w:t>
        </w:r>
        <w:r>
          <w:tab/>
        </w:r>
        <w:r>
          <w:rPr>
            <w:rStyle w:val="1360"/>
          </w:rPr>
          <w:t xml:space="preserve">ПРОЕКТ ДОГОВОРА</w:t>
        </w:r>
        <w:r>
          <w:tab/>
        </w:r>
        <w:r>
          <w:fldChar w:fldCharType="begin"/>
        </w:r>
        <w:r>
          <w:instrText xml:space="preserve">PAGEREF _Toc57 \h</w:instrText>
        </w:r>
        <w:r>
          <w:fldChar w:fldCharType="separate"/>
        </w:r>
        <w:r>
          <w:t xml:space="preserve">73</w:t>
        </w:r>
        <w:r>
          <w:fldChar w:fldCharType="end"/>
        </w:r>
      </w:hyperlink>
      <w:r/>
      <w:r>
        <w:rPr>
          <w:rStyle w:val="1311"/>
          <w:rFonts w:ascii="Times New Roman" w:hAnsi="Times New Roman" w:cs="Times New Roman"/>
        </w:rPr>
      </w:r>
    </w:p>
    <w:p>
      <w:pPr>
        <w:pStyle w:val="1330"/>
        <w:tabs>
          <w:tab w:val="left" w:pos="567" w:leader="none"/>
        </w:tabs>
        <w:rPr>
          <w:rStyle w:val="1311"/>
          <w:rFonts w:ascii="Times New Roman" w:hAnsi="Times New Roman" w:cs="Times New Roman"/>
        </w:rPr>
      </w:pPr>
      <w:r/>
      <w:hyperlink w:tooltip="#_Toc58" w:anchor="_Toc58" w:history="1">
        <w:r>
          <w:t xml:space="preserve">V.</w:t>
        </w:r>
        <w:r>
          <w:tab/>
        </w:r>
        <w:r>
          <w:rPr>
            <w:rStyle w:val="1360"/>
          </w:rPr>
          <w:t xml:space="preserve">ТЕХНИЧЕСКАЯ ЧАСТЬ</w:t>
        </w:r>
        <w:r>
          <w:tab/>
        </w:r>
        <w:r>
          <w:fldChar w:fldCharType="begin"/>
        </w:r>
        <w:r>
          <w:instrText xml:space="preserve">PAGEREF _Toc58 \h</w:instrText>
        </w:r>
        <w:r>
          <w:fldChar w:fldCharType="separate"/>
        </w:r>
        <w:r>
          <w:t xml:space="preserve">74</w:t>
        </w:r>
        <w:r>
          <w:fldChar w:fldCharType="end"/>
        </w:r>
      </w:hyperlink>
      <w:r/>
      <w:r>
        <w:rPr>
          <w:rStyle w:val="1311"/>
          <w:rFonts w:ascii="Times New Roman" w:hAnsi="Times New Roman" w:cs="Times New Roman"/>
        </w:rPr>
      </w:r>
    </w:p>
    <w:p>
      <w:pPr>
        <w:pStyle w:val="1330"/>
        <w:tabs>
          <w:tab w:val="left" w:pos="567" w:leader="none"/>
        </w:tabs>
        <w:rPr>
          <w:rStyle w:val="1311"/>
          <w:rFonts w:ascii="Times New Roman" w:hAnsi="Times New Roman" w:cs="Times New Roman"/>
        </w:rPr>
      </w:pPr>
      <w:r/>
      <w:hyperlink w:tooltip="#_Toc59" w:anchor="_Toc59" w:history="1">
        <w:r>
          <w:t xml:space="preserve">VI.</w:t>
        </w:r>
        <w:r>
          <w:tab/>
        </w:r>
        <w:r>
          <w:rPr>
            <w:rStyle w:val="1360"/>
          </w:rPr>
          <w:t xml:space="preserve">ОБОСНОВАНИЕ НМЦ</w:t>
        </w:r>
        <w:r>
          <w:tab/>
        </w:r>
        <w:r>
          <w:fldChar w:fldCharType="begin"/>
        </w:r>
        <w:r>
          <w:instrText xml:space="preserve">PAGEREF _Toc59 \h</w:instrText>
        </w:r>
        <w:r>
          <w:fldChar w:fldCharType="separate"/>
        </w:r>
        <w:r>
          <w:t xml:space="preserve">75</w:t>
        </w:r>
        <w:r>
          <w:fldChar w:fldCharType="end"/>
        </w:r>
      </w:hyperlink>
      <w:r/>
      <w:r>
        <w:rPr>
          <w:rStyle w:val="1311"/>
          <w:rFonts w:ascii="Times New Roman" w:hAnsi="Times New Roman" w:cs="Times New Roman"/>
        </w:rPr>
      </w:r>
    </w:p>
    <w:p>
      <w:pPr>
        <w:pStyle w:val="1330"/>
        <w:tabs>
          <w:tab w:val="left" w:pos="850" w:leader="none"/>
        </w:tabs>
      </w:pPr>
      <w:r/>
      <w:hyperlink w:tooltip="#_Toc60" w:anchor="_Toc60" w:history="1">
        <w:r>
          <w:t xml:space="preserve">VII.</w:t>
        </w:r>
        <w:r>
          <w:tab/>
        </w:r>
        <w:r>
          <w:rPr>
            <w:rStyle w:val="1360"/>
          </w:rPr>
          <w:t xml:space="preserve">ТИПОВ</w:t>
        </w:r>
        <w:r>
          <w:rPr>
            <w:rStyle w:val="1360"/>
            <w:rFonts w:eastAsiaTheme="majorEastAsia"/>
          </w:rPr>
          <w:t xml:space="preserve">ЫЕ</w:t>
        </w:r>
        <w:r>
          <w:rPr>
            <w:rStyle w:val="1360"/>
          </w:rPr>
          <w:t xml:space="preserve"> ФОРМ</w:t>
        </w:r>
        <w:r>
          <w:rPr>
            <w:rStyle w:val="1360"/>
            <w:rFonts w:eastAsiaTheme="majorEastAsia"/>
          </w:rPr>
          <w:t xml:space="preserve">Ы</w:t>
        </w:r>
        <w:r>
          <w:rPr>
            <w:rStyle w:val="1360"/>
          </w:rPr>
          <w:t xml:space="preserve"> НЕЗАВИСИМ</w:t>
        </w:r>
        <w:r>
          <w:rPr>
            <w:rStyle w:val="1360"/>
            <w:rFonts w:eastAsiaTheme="majorEastAsia"/>
          </w:rPr>
          <w:t xml:space="preserve">ЫХ ГАРАНТИЙ</w:t>
        </w:r>
        <w:r>
          <w:tab/>
        </w:r>
        <w:r>
          <w:fldChar w:fldCharType="begin"/>
        </w:r>
        <w:r>
          <w:instrText xml:space="preserve">PAGEREF _Toc60 \h</w:instrText>
        </w:r>
        <w:r>
          <w:fldChar w:fldCharType="separate"/>
        </w:r>
        <w:r>
          <w:t xml:space="preserve">76</w:t>
        </w:r>
        <w:r>
          <w:fldChar w:fldCharType="end"/>
        </w:r>
      </w:hyperlink>
      <w:r/>
      <w:r/>
    </w:p>
    <w:p>
      <w:pPr>
        <w:pStyle w:val="1330"/>
        <w:tabs>
          <w:tab w:val="left" w:pos="850" w:leader="none"/>
        </w:tabs>
        <w:rPr>
          <w:b w:val="0"/>
          <w:i/>
          <w:smallCaps/>
          <w:sz w:val="24"/>
          <w:szCs w:val="24"/>
        </w:rPr>
      </w:pPr>
      <w:r>
        <w:rPr>
          <w:b w:val="0"/>
          <w:bCs w:val="0"/>
          <w:i/>
          <w:iCs/>
          <w:smallCaps/>
          <w:sz w:val="24"/>
          <w:szCs w:val="24"/>
        </w:rPr>
        <w:fldChar w:fldCharType="end"/>
      </w:r>
      <w:r>
        <w:rPr>
          <w:b w:val="0"/>
          <w:i/>
          <w:smallCaps/>
          <w:sz w:val="24"/>
          <w:szCs w:val="24"/>
        </w:rPr>
      </w:r>
    </w:p>
    <w:p>
      <w:pPr>
        <w:pStyle w:val="1140"/>
        <w:numPr>
          <w:ilvl w:val="0"/>
          <w:numId w:val="4"/>
        </w:numPr>
        <w:ind w:left="0" w:firstLine="567"/>
        <w:keepNext w:val="0"/>
        <w:pageBreakBefore/>
        <w:spacing w:before="0" w:after="0"/>
        <w:widowControl w:val="off"/>
        <w:rPr>
          <w:rStyle w:val="1311"/>
          <w:b w:val="0"/>
          <w:bCs w:val="0"/>
          <w:caps/>
          <w:sz w:val="28"/>
          <w:szCs w:val="28"/>
        </w:rPr>
      </w:pPr>
      <w:r/>
      <w:bookmarkStart w:id="1" w:name="_I._ОБЩИЕ_У"/>
      <w:r/>
      <w:bookmarkStart w:id="2" w:name="_ОБЩИЕ_УСЛОВИЯ_ПРОВЕДЕНИЯ"/>
      <w:r/>
      <w:bookmarkStart w:id="3" w:name="_Ref166642713"/>
      <w:r/>
      <w:bookmarkStart w:id="4" w:name="_Toc2"/>
      <w:r/>
      <w:bookmarkEnd w:id="1"/>
      <w:r/>
      <w:bookmarkEnd w:id="2"/>
      <w:r>
        <w:rPr>
          <w:rStyle w:val="1311"/>
          <w:rFonts w:ascii="Times New Roman" w:hAnsi="Times New Roman" w:cs="Times New Roman"/>
          <w:caps/>
          <w:color w:val="auto"/>
          <w:sz w:val="28"/>
          <w:szCs w:val="28"/>
        </w:rPr>
        <w:t xml:space="preserve">ОБЩИЕ УСЛО</w:t>
      </w:r>
      <w:r>
        <w:rPr>
          <w:rStyle w:val="1311"/>
          <w:rFonts w:ascii="Times New Roman" w:hAnsi="Times New Roman" w:cs="Times New Roman"/>
          <w:caps/>
          <w:color w:val="auto"/>
          <w:sz w:val="28"/>
          <w:szCs w:val="28"/>
        </w:rPr>
        <w:t xml:space="preserve">ВИЯ ПРОВЕДЕНИЯ ЗАКУПКИ</w:t>
      </w:r>
      <w:bookmarkEnd w:id="3"/>
      <w:r/>
      <w:bookmarkEnd w:id="4"/>
      <w:r/>
      <w:r>
        <w:rPr>
          <w:rStyle w:val="1311"/>
          <w:b w:val="0"/>
          <w:bCs w:val="0"/>
          <w:caps/>
          <w:sz w:val="28"/>
          <w:szCs w:val="28"/>
        </w:rPr>
      </w:r>
    </w:p>
    <w:p>
      <w:r/>
      <w:r/>
    </w:p>
    <w:p>
      <w:pPr>
        <w:pStyle w:val="114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5" w:name="_ОБЩИЕ_ПОЛОЖЕНИЯ"/>
      <w:r/>
      <w:bookmarkStart w:id="6" w:name="_Ref166101247"/>
      <w:r/>
      <w:bookmarkStart w:id="7" w:name="_Ref166101251"/>
      <w:r/>
      <w:bookmarkStart w:id="8" w:name="_Toc3"/>
      <w:r/>
      <w:bookmarkEnd w:id="5"/>
      <w:r>
        <w:rPr>
          <w:sz w:val="24"/>
          <w:szCs w:val="24"/>
        </w:rPr>
        <w:t xml:space="preserve">ОБЩИЕ ПОЛОЖЕНИЯ</w:t>
      </w:r>
      <w:bookmarkEnd w:id="6"/>
      <w:r/>
      <w:bookmarkEnd w:id="7"/>
      <w:r/>
      <w:bookmarkEnd w:id="8"/>
      <w:r/>
      <w:r>
        <w:rPr>
          <w:sz w:val="24"/>
          <w:szCs w:val="24"/>
        </w:rPr>
      </w:r>
    </w:p>
    <w:p>
      <w:pPr>
        <w:pStyle w:val="114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9" w:name="_Toc4"/>
      <w:r>
        <w:rPr>
          <w:sz w:val="24"/>
          <w:szCs w:val="24"/>
        </w:rPr>
        <w:t xml:space="preserve">Правовой статус документов</w:t>
      </w:r>
      <w:bookmarkEnd w:id="9"/>
      <w:r/>
      <w:r>
        <w:rPr>
          <w:sz w:val="24"/>
          <w:szCs w:val="24"/>
        </w:rPr>
      </w:r>
    </w:p>
    <w:p>
      <w:pPr>
        <w:pStyle w:val="1142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19427085"/>
      <w:r/>
      <w:bookmarkStart w:id="11" w:name="_Ref11225299"/>
      <w:r>
        <w:rPr>
          <w:rFonts w:ascii="Times New Roman" w:hAnsi="Times New Roman" w:cs="Times New Roman"/>
          <w:b w:val="0"/>
          <w:bCs w:val="0"/>
        </w:rPr>
        <w:t xml:space="preserve">Настоящая документация о закупке подготовлена в соответствии </w:t>
      </w:r>
      <w:bookmarkEnd w:id="10"/>
      <w:r>
        <w:rPr>
          <w:rFonts w:ascii="Times New Roman" w:hAnsi="Times New Roman" w:cs="Times New Roman"/>
          <w:b w:val="0"/>
          <w:bCs w:val="0"/>
        </w:rPr>
        <w:t xml:space="preserve">с требованиями </w:t>
      </w:r>
      <w:hyperlink r:id="rId12" w:tooltip="http://www.consultant.ru/document/cons_doc_LAW_116964/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Федерального закона от 18.07.2011 № 223-ФЗ «О закупке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Закон 2</w:t>
      </w:r>
      <w:r>
        <w:rPr>
          <w:rFonts w:ascii="Times New Roman" w:hAnsi="Times New Roman" w:cs="Times New Roman"/>
          <w:b w:val="0"/>
          <w:bCs w:val="0"/>
        </w:rPr>
        <w:t xml:space="preserve">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hyperlink r:id="rId13" w:tooltip="https://zakupki.gov.ru/epz/orderclause/card/common-info.html?orderClauseInfoId=967865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Единого стандарта закупок ПАО«Россети»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Стандарт, Положение о закупке), (в редакции, дейс</w:t>
      </w:r>
      <w:r>
        <w:rPr>
          <w:rFonts w:ascii="Times New Roman" w:hAnsi="Times New Roman" w:cs="Times New Roman"/>
          <w:b w:val="0"/>
          <w:bCs w:val="0"/>
        </w:rPr>
        <w:t xml:space="preserve">твующей на дату официального размещения извещения).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</w:t>
      </w:r>
      <w:r>
        <w:rPr>
          <w:rFonts w:ascii="Times New Roman" w:hAnsi="Times New Roman" w:cs="Times New Roman"/>
          <w:b w:val="0"/>
          <w:bCs w:val="0"/>
        </w:rPr>
        <w:t xml:space="preserve">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Извещение о закупке и настоящая документация о закупке, размещенные Заказчиком в Единой информационной системе</w:t>
      </w:r>
      <w:r>
        <w:rPr>
          <w:rFonts w:ascii="Times New Roman" w:hAnsi="Times New Roman" w:cs="Times New Roman"/>
          <w:b w:val="0"/>
          <w:bCs w:val="0"/>
        </w:rPr>
        <w:t xml:space="preserve"> в сфере закупок товаров, работ,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</w:t>
      </w:r>
      <w:r>
        <w:rPr>
          <w:rFonts w:ascii="Times New Roman" w:hAnsi="Times New Roman" w:cs="Times New Roman"/>
          <w:b w:val="0"/>
          <w:bCs w:val="0"/>
        </w:rPr>
        <w:t xml:space="preserve">енного для проведения закупки.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конкурентной закупке (далее – заявка, заявка участника закупки).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участника закупки, поданная участником в соответствии с установленными требованиями, имеет правовой статус оф</w:t>
      </w:r>
      <w:r>
        <w:rPr>
          <w:rFonts w:ascii="Times New Roman" w:hAnsi="Times New Roman" w:cs="Times New Roman"/>
          <w:b w:val="0"/>
          <w:bCs w:val="0"/>
        </w:rPr>
        <w:t xml:space="preserve">ерты и будет рассматриваться Заказчиком в соответствии с этим.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</w:t>
      </w:r>
      <w:hyperlink r:id="rId14" w:tooltip="http://www.consultant.ru/document/cons_doc_LAW_5142/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Гражданским кодексом Российской Федерации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r:id="rId15" w:tooltip="https://zakupki.gov.ru/epz/orderclause/card/common-info.html?orderClauseInfoId=829138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сторон договора, заключаемого по результатам закупки, действуют также иные специальные нормативные правовые акты, нас</w:t>
      </w:r>
      <w:r>
        <w:rPr>
          <w:rFonts w:ascii="Times New Roman" w:hAnsi="Times New Roman" w:cs="Times New Roman"/>
          <w:b w:val="0"/>
          <w:bCs w:val="0"/>
        </w:rPr>
        <w:t xml:space="preserve">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2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12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3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</w:t>
      </w:r>
      <w:hyperlink w:tooltip="#_Наименование,_место_нахождения," w:anchor="_Наименование,_место_нахождения,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соответственно (далее по тексту ссылки на разделы, подразделы, пункты и подпункты относятся исключительн</w:t>
      </w:r>
      <w:r>
        <w:rPr>
          <w:rFonts w:ascii="Times New Roman" w:hAnsi="Times New Roman" w:cs="Times New Roman"/>
          <w:b w:val="0"/>
          <w:bCs w:val="0"/>
        </w:rPr>
        <w:t xml:space="preserve">о к настоящей документации о закупке, если рядом с такой ссылкой не указано иного), проводит закупку, предмет и условия которой указаны в </w:t>
      </w:r>
      <w:hyperlink w:tooltip="#_РАЗДЕЛ_I_3_ИНФОРМАЦИОННАЯ_КАРТА_КОН" w:anchor="_РАЗДЕЛ_I_3_ИНФОРМАЦИОННАЯ_КАРТА_КОН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части II «ИНФОРМАЦИ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соответствии с процедурами, условиями и положениями настоящей документации о закупке.</w:t>
      </w:r>
      <w:bookmarkEnd w:id="13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</w:t>
      </w:r>
      <w:r>
        <w:rPr>
          <w:rFonts w:ascii="Times New Roman" w:hAnsi="Times New Roman" w:cs="Times New Roman"/>
          <w:b w:val="0"/>
          <w:bCs w:val="0"/>
        </w:rPr>
        <w:t xml:space="preserve">еделены Стандартом.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пункте </w:t>
      </w:r>
      <w:hyperlink w:tooltip="#_Наименование,_место_нахождения," w:anchor="_Наименование,_место_нахождения,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4" w:name="_Toc6"/>
      <w:r>
        <w:rPr>
          <w:sz w:val="24"/>
          <w:szCs w:val="24"/>
        </w:rPr>
        <w:t xml:space="preserve">Начальная (максимальная) цена </w:t>
      </w:r>
      <w:r>
        <w:rPr>
          <w:sz w:val="24"/>
          <w:szCs w:val="24"/>
        </w:rPr>
        <w:t xml:space="preserve">договора (цена лота) </w:t>
      </w:r>
      <w:bookmarkEnd w:id="14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закупке и в пункте </w:t>
      </w:r>
      <w:hyperlink w:tooltip="#_Сведения_о_начальной" w:anchor="_Сведения_о_начальной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Начальная (максимальная) цена договора (цена лота)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</w:t>
      </w:r>
      <w:r>
        <w:rPr>
          <w:rFonts w:ascii="Times New Roman" w:hAnsi="Times New Roman" w:cs="Times New Roman"/>
          <w:b w:val="0"/>
        </w:rPr>
        <w:t xml:space="preserve">нителю, подрядчику) в ходе исполнения договора, и максимального значения цены договора, либо цены единицы товара, работы, услуги и максимальное значение цены договора. В случае если по результатам закупки в соответствии с условиями документации о закупке м</w:t>
      </w:r>
      <w:r>
        <w:rPr>
          <w:rFonts w:ascii="Times New Roman" w:hAnsi="Times New Roman" w:cs="Times New Roman"/>
          <w:b w:val="0"/>
        </w:rPr>
        <w:t xml:space="preserve">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Начальная (максимальная) цена каждого товара, раб</w:t>
      </w:r>
      <w:r>
        <w:rPr>
          <w:rFonts w:ascii="Times New Roman" w:hAnsi="Times New Roman" w:cs="Times New Roman"/>
          <w:b w:val="0"/>
        </w:rPr>
        <w:t xml:space="preserve">оты, услуги, являющихся предметом закупки, составляет значения, указанные в </w:t>
      </w:r>
      <w:hyperlink w:tooltip="#_Приложение_№_2" w:anchor="_Приложение_2" w:history="1">
        <w:r>
          <w:rPr>
            <w:rStyle w:val="1360"/>
            <w:rFonts w:ascii="Times New Roman" w:hAnsi="Times New Roman" w:cs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5" w:name="_1.4._Требо"/>
      <w:r/>
      <w:bookmarkStart w:id="16" w:name="_Требования_к_участникам"/>
      <w:r/>
      <w:bookmarkStart w:id="17" w:name="_Toc7"/>
      <w:r/>
      <w:bookmarkEnd w:id="15"/>
      <w:r/>
      <w:bookmarkEnd w:id="16"/>
      <w:r>
        <w:rPr>
          <w:sz w:val="24"/>
          <w:szCs w:val="24"/>
        </w:rPr>
        <w:t xml:space="preserve">Требования к участникам закупки</w:t>
      </w:r>
      <w:bookmarkEnd w:id="17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95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rFonts w:eastAsiaTheme="minorHAnsi"/>
          <w:sz w:val="24"/>
          <w:szCs w:val="24"/>
          <w:lang w:eastAsia="en-US"/>
        </w:rPr>
      </w:pPr>
      <w:r>
        <w:rPr>
          <w:b/>
          <w:bCs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люб</w:t>
      </w:r>
      <w:r>
        <w:rPr>
          <w:rFonts w:eastAsiaTheme="minorHAnsi"/>
          <w:sz w:val="24"/>
          <w:szCs w:val="24"/>
          <w:lang w:eastAsia="en-US"/>
        </w:rPr>
        <w:t xml:space="preserve">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</w:t>
      </w:r>
      <w:r>
        <w:rPr>
          <w:rFonts w:eastAsiaTheme="minorHAnsi"/>
          <w:sz w:val="24"/>
          <w:szCs w:val="24"/>
          <w:lang w:eastAsia="en-US"/>
        </w:rPr>
        <w:t xml:space="preserve">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</w:t>
      </w:r>
      <w:hyperlink r:id="rId16" w:tooltip="https://www.consultant.ru/document/cons_doc_LAW_421788/?ysclid=lh7gcn0ch0337012251" w:history="1">
        <w:r>
          <w:rPr>
            <w:rStyle w:val="1360"/>
            <w:rFonts w:eastAsiaTheme="minorHAnsi"/>
            <w:sz w:val="24"/>
            <w:szCs w:val="24"/>
            <w:lang w:eastAsia="en-US"/>
          </w:rPr>
          <w:t xml:space="preserve">Федеральным законом от 14 июля 2022 года № 255-ФЗ «О контроле за деятельностью лиц, находящихся под иностранным влиянием»</w:t>
        </w:r>
      </w:hyperlink>
      <w:r>
        <w:rPr>
          <w:rFonts w:eastAsiaTheme="minorHAnsi"/>
          <w:sz w:val="24"/>
          <w:szCs w:val="24"/>
          <w:lang w:eastAsia="en-US"/>
        </w:rPr>
        <w:t xml:space="preserve">, если иное </w:t>
      </w:r>
      <w:r>
        <w:rPr>
          <w:rFonts w:eastAsiaTheme="minorHAnsi"/>
          <w:sz w:val="24"/>
          <w:szCs w:val="24"/>
          <w:lang w:eastAsia="en-US"/>
        </w:rPr>
        <w:t xml:space="preserve">не предусмотрено законодательством Российской Федерации;</w:t>
      </w:r>
      <w:r>
        <w:rPr>
          <w:rFonts w:eastAsiaTheme="minorHAnsi"/>
          <w:sz w:val="24"/>
          <w:szCs w:val="24"/>
          <w:lang w:eastAsia="en-US"/>
        </w:rPr>
      </w:r>
    </w:p>
    <w:p>
      <w:pPr>
        <w:pStyle w:val="1495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b/>
          <w:bCs/>
        </w:rPr>
      </w:pPr>
      <w:r>
        <w:rPr>
          <w:sz w:val="24"/>
          <w:szCs w:val="24"/>
        </w:rPr>
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</w:t>
      </w:r>
      <w:r>
        <w:rPr>
          <w:sz w:val="24"/>
          <w:szCs w:val="24"/>
        </w:rPr>
        <w:t xml:space="preserve">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</w:t>
      </w:r>
      <w:r>
        <w:rPr>
          <w:sz w:val="24"/>
          <w:szCs w:val="24"/>
        </w:rPr>
        <w:t xml:space="preserve">в соответствии с </w:t>
      </w:r>
      <w:hyperlink r:id="rId17" w:tooltip="https://www.consultant.ru/document/cons_doc_LAW_421788/?ysclid=lh7gd9qdev457426157" w:history="1">
        <w:r>
          <w:rPr>
            <w:rStyle w:val="1360"/>
            <w:sz w:val="24"/>
            <w:szCs w:val="24"/>
          </w:rPr>
          <w:t xml:space="preserve">Федеральным законом от 14 июля 2022 года № 255-ФЗ «О</w:t>
        </w:r>
        <w:r>
          <w:rPr>
            <w:rStyle w:val="1360"/>
            <w:sz w:val="24"/>
            <w:szCs w:val="24"/>
          </w:rPr>
          <w:t xml:space="preserve"> контроле за деятельностью лиц, находящихся под иностранным влиянием»</w:t>
        </w:r>
      </w:hyperlink>
      <w:r>
        <w:rPr>
          <w:rStyle w:val="1360"/>
          <w:sz w:val="24"/>
          <w:szCs w:val="24"/>
        </w:rPr>
        <w:t xml:space="preserve">.</w:t>
      </w:r>
      <w:r>
        <w:rPr>
          <w:b/>
          <w:bCs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</w:t>
      </w:r>
      <w:r>
        <w:rPr>
          <w:rFonts w:ascii="Times New Roman" w:hAnsi="Times New Roman" w:cs="Times New Roman"/>
          <w:b w:val="0"/>
          <w:bCs w:val="0"/>
        </w:rPr>
        <w:t xml:space="preserve">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" w:name="_Участник_закупки_для"/>
      <w:r/>
      <w:bookmarkStart w:id="19" w:name="_Ref166312025"/>
      <w:r/>
      <w:bookmarkEnd w:id="18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</w:t>
      </w:r>
      <w:hyperlink w:tooltip="#_Единые_требования_к" w:anchor="_Единые_требования_к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14 части II «ИНФОРМАЦИОН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16 части II «ИНФОРМАЦИ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ОННАЯ КАРТА ЗАКУПКИ»</w:t>
        </w:r>
      </w:hyperlink>
      <w:r/>
      <w:bookmarkEnd w:id="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указать сведения о наличии/отсутствии конфликта интересов и/или связей, носящих характер аффилированности с работниками Заказчика/Организатора закупки.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пр</w:t>
      </w:r>
      <w:r>
        <w:rPr>
          <w:rFonts w:ascii="Times New Roman" w:hAnsi="Times New Roman" w:cs="Times New Roman"/>
          <w:b w:val="0"/>
          <w:bCs w:val="0"/>
        </w:rPr>
        <w:t xml:space="preserve">едоставить справку о цепочке собственников участника закупки, включая бенефициаров (в том числе конечных).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ознакомится с требованиями Антикоррупционной политики Заказчика и выразить согласие с принимаемыми заказчиком антико</w:t>
      </w:r>
      <w:r>
        <w:rPr>
          <w:rFonts w:ascii="Times New Roman" w:hAnsi="Times New Roman" w:cs="Times New Roman"/>
          <w:b w:val="0"/>
          <w:bCs w:val="0"/>
        </w:rPr>
        <w:t xml:space="preserve">ррупционными мерами.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</w:t>
      </w:r>
      <w:hyperlink r:id="rId18" w:tooltip="http://www.consultant.ru/document/cons_doc_LAW_116964/" w:history="1">
        <w:r>
          <w:rPr>
            <w:rStyle w:val="1360"/>
            <w:rFonts w:ascii="Times New Roman" w:hAnsi="Times New Roman" w:cs="Times New Roman"/>
            <w:b w:val="0"/>
          </w:rPr>
          <w:t xml:space="preserve">Законом 223-</w:t>
        </w:r>
        <w:r>
          <w:rPr>
            <w:rStyle w:val="1360"/>
            <w:rFonts w:ascii="Times New Roman" w:hAnsi="Times New Roman" w:cs="Times New Roman"/>
            <w:b w:val="0"/>
          </w:rPr>
          <w:t xml:space="preserve">ФЗ</w:t>
        </w:r>
      </w:hyperlink>
      <w:r>
        <w:rPr>
          <w:rFonts w:ascii="Times New Roman" w:hAnsi="Times New Roman" w:cs="Times New Roman"/>
          <w:b w:val="0"/>
        </w:rPr>
        <w:t xml:space="preserve">, и (или) в реестре недобросовестных поставщиков, предусмотренном </w:t>
      </w:r>
      <w:hyperlink r:id="rId19" w:tooltip="https://www.consultant.ru/document/cons_doc_LAW_144624/?ysclid=lh7gqoclg7259684790" w:history="1">
        <w:r>
          <w:rPr>
            <w:rStyle w:val="1360"/>
            <w:rFonts w:ascii="Times New Roman" w:hAnsi="Times New Roman" w:cs="Times New Roman"/>
            <w:b w:val="0"/>
          </w:rPr>
          <w:t xml:space="preserve">Федеральным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</w:t>
      </w:r>
      <w:r>
        <w:rPr>
          <w:rFonts w:ascii="Times New Roman" w:hAnsi="Times New Roman" w:cs="Times New Roman"/>
          <w:b w:val="0"/>
        </w:rPr>
        <w:t xml:space="preserve"> пункте </w:t>
      </w:r>
      <w:hyperlink w:tooltip="#_Единые_требования_к" w:anchor="_Единые_требования_к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</w:t>
      </w:r>
      <w:r>
        <w:rPr>
          <w:rFonts w:ascii="Times New Roman" w:hAnsi="Times New Roman" w:cs="Times New Roman"/>
          <w:b w:val="0"/>
        </w:rPr>
        <w:t xml:space="preserve"> в состав коллективного участника, должно отвечать требованиям настоящей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</w:t>
      </w:r>
      <w:r>
        <w:rPr>
          <w:rFonts w:ascii="Times New Roman" w:hAnsi="Times New Roman" w:cs="Times New Roman"/>
          <w:b w:val="0"/>
        </w:rPr>
        <w:t xml:space="preserve">недобросовестных поставщиков и т.п.).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распределением поставок, работ, услуг</w:t>
      </w:r>
      <w:r>
        <w:rPr>
          <w:rFonts w:ascii="Times New Roman" w:hAnsi="Times New Roman" w:cs="Times New Roman"/>
          <w:b w:val="0"/>
        </w:rPr>
        <w:t xml:space="preserve"> между членами коллективного участника.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</w:t>
      </w:r>
      <w:r>
        <w:rPr>
          <w:rFonts w:ascii="Times New Roman" w:hAnsi="Times New Roman" w:cs="Times New Roman"/>
          <w:b w:val="0"/>
        </w:rPr>
        <w:t xml:space="preserve">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</w:t>
      </w:r>
      <w:r>
        <w:rPr>
          <w:rFonts w:ascii="Times New Roman" w:hAnsi="Times New Roman" w:cs="Times New Roman"/>
          <w:b w:val="0"/>
        </w:rPr>
        <w:t xml:space="preserve">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Любое юридическое или индивидуальный предприниматель, не </w:t>
      </w:r>
      <w:r>
        <w:rPr>
          <w:rFonts w:ascii="Times New Roman" w:hAnsi="Times New Roman" w:cs="Times New Roman"/>
          <w:b w:val="0"/>
        </w:rPr>
        <w:t xml:space="preserve">принимающее участие в данной закупке самостоятельно либо в составе коллективного участника может являться субподрядчиком/соисполнителем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0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</w:t>
      </w:r>
      <w:r>
        <w:rPr>
          <w:rFonts w:ascii="Times New Roman" w:hAnsi="Times New Roman" w:cs="Times New Roman"/>
          <w:b w:val="0"/>
          <w:bCs w:val="0"/>
        </w:rPr>
        <w:t xml:space="preserve">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</w:t>
      </w:r>
      <w:r>
        <w:rPr>
          <w:rFonts w:ascii="Times New Roman" w:hAnsi="Times New Roman" w:cs="Times New Roman"/>
          <w:b w:val="0"/>
          <w:bCs w:val="0"/>
        </w:rPr>
        <w:t xml:space="preserve">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</w:t>
      </w:r>
      <w:r>
        <w:rPr>
          <w:rFonts w:ascii="Times New Roman" w:hAnsi="Times New Roman" w:cs="Times New Roman"/>
          <w:b w:val="0"/>
          <w:bCs w:val="0"/>
        </w:rPr>
        <w:t xml:space="preserve">й указывается в пункте </w:t>
      </w:r>
      <w:bookmarkEnd w:id="20"/>
      <w:r>
        <w:fldChar w:fldCharType="begin"/>
      </w:r>
      <w:r>
        <w:instrText xml:space="preserve"> HYPERLINK \l "_Единые_требования_к" </w:instrText>
      </w:r>
      <w:r>
        <w:fldChar w:fldCharType="separate"/>
      </w:r>
      <w:r>
        <w:rPr>
          <w:rStyle w:val="1360"/>
          <w:rFonts w:ascii="Times New Roman" w:hAnsi="Times New Roman" w:cs="Times New Roman"/>
          <w:b w:val="0"/>
          <w:bCs w:val="0"/>
        </w:rPr>
        <w:t xml:space="preserve">14 части II «ИНФОРМАЦИОННАЯ КАРТА ЗАКУПКИ»</w:t>
      </w:r>
      <w:r>
        <w:rPr>
          <w:rStyle w:val="1360"/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16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21" w:name="_Toc8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bookmarkEnd w:id="21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</w:t>
      </w:r>
      <w:r>
        <w:rPr>
          <w:rFonts w:ascii="Times New Roman" w:hAnsi="Times New Roman" w:cs="Times New Roman"/>
          <w:b w:val="0"/>
          <w:bCs w:val="0"/>
        </w:rPr>
        <w:t xml:space="preserve">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22" w:name="_Ref354131841"/>
      <w:r/>
      <w:bookmarkStart w:id="23" w:name="_Ref114955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" w:name="_Toc9"/>
      <w:r/>
      <w:bookmarkEnd w:id="22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4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</w:t>
      </w:r>
      <w:r>
        <w:rPr>
          <w:rFonts w:ascii="Times New Roman" w:hAnsi="Times New Roman" w:cs="Times New Roman"/>
          <w:b w:val="0"/>
          <w:bCs w:val="0"/>
        </w:rPr>
        <w:t xml:space="preserve"> связанные с подготовкой и подачей заявки на участие в закупке, участием в закупке и заключением </w:t>
      </w:r>
      <w:bookmarkEnd w:id="23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</w:pPr>
      <w:r/>
      <w:bookmarkStart w:id="25" w:name="_Toc10"/>
      <w:r/>
      <w:bookmarkStart w:id="26" w:name="_Hlk188373250"/>
      <w:r/>
      <w:bookmarkEnd w:id="11"/>
      <w:r>
        <w:rPr>
          <w:sz w:val="24"/>
          <w:szCs w:val="24"/>
        </w:rPr>
        <w:t xml:space="preserve">Пр</w:t>
      </w:r>
      <w:r>
        <w:rPr>
          <w:sz w:val="24"/>
          <w:szCs w:val="24"/>
        </w:rPr>
        <w:t xml:space="preserve">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bookmarkEnd w:id="25"/>
      <w:r/>
      <w:r/>
    </w:p>
    <w:p>
      <w:pPr>
        <w:pStyle w:val="114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 или ограничение закупки работ, услуг, соответстве</w:t>
      </w:r>
      <w:r>
        <w:rPr>
          <w:rFonts w:ascii="Times New Roman" w:hAnsi="Times New Roman" w:cs="Times New Roman"/>
          <w:b w:val="0"/>
          <w:bCs w:val="0"/>
        </w:rPr>
        <w:t xml:space="preserve">нно выполняемых, оказываемых иностранными лицами, устанавливаются в пункте </w:t>
      </w:r>
      <w:hyperlink w:tooltip="#_Сведения_о_предоставлении" w:anchor="_Информация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12 части II 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соответствии c требованиями п. 4.5 </w:t>
      </w:r>
      <w:hyperlink r:id="rId20" w:tooltip="https://zakupki.gov.ru/epz/orderclause/card/common-info.html?orderClauseInfoId=967865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Единого стандарта закупок ПАО 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21" w:tooltip="https://www.consultant.ru/document/cons_doc_LAW_494318/92d969e26a4326c5d02fa79b8f9cf4994ee5633b/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Постановления Правительства РФ от 23.12.2024 № 1875 «О мерах по 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ПП 1875).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  <w:rPr>
          <w:b w:val="0"/>
        </w:rPr>
      </w:pPr>
      <w:r/>
      <w:bookmarkStart w:id="27" w:name="_Toc11"/>
      <w:r>
        <w:rPr>
          <w:sz w:val="24"/>
          <w:szCs w:val="24"/>
        </w:rPr>
        <w:t xml:space="preserve">Антимонопольная оговорка</w:t>
      </w:r>
      <w:bookmarkEnd w:id="27"/>
      <w:r/>
      <w:r>
        <w:rPr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может ознакомиться с Политикой антимонопольного комплаенса АО «Россети Янтарь», представленной в разделе «Политика антимонопольного комплаенса» на официальном сайте АО «Россети Янтарь» по адресу в сети Интернет </w:t>
      </w:r>
      <w:hyperlink r:id="rId22" w:tooltip="https://www.rosseti-yantar.ru/about/politiks/antimonopolnyy-komplaens/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https://www.rosseti-yantar.ru/about/politiks/antimonopolnyy-komplaens/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Антимонопольная политика).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при принятии </w:t>
      </w:r>
      <w:r>
        <w:rPr>
          <w:rFonts w:ascii="Times New Roman" w:hAnsi="Times New Roman" w:cs="Times New Roman"/>
          <w:b w:val="0"/>
          <w:bCs w:val="0"/>
        </w:rPr>
        <w:t xml:space="preserve">участия в настоящей закупочной процедуре, его работники, представители, учитывают требования действующего Федерального закона от 26.07.2006 № 135-ФЗ «О защите конкуренции», а также иных федеральных законов, нормативных правовых актов, регулирующих отношени</w:t>
      </w:r>
      <w:r>
        <w:rPr>
          <w:rFonts w:ascii="Times New Roman" w:hAnsi="Times New Roman" w:cs="Times New Roman"/>
          <w:b w:val="0"/>
          <w:bCs w:val="0"/>
        </w:rPr>
        <w:t xml:space="preserve">я, связанные с защитой конкуренции, предупреждением и пресечением монополистической деятельности и недобросовестной конкуренции (далее- Антимонопольное законодательство), Федерального закона от 18.07.2011 № 223-ФЗ «О закупках товаров, работ, услуг отдельны</w:t>
      </w:r>
      <w:r>
        <w:rPr>
          <w:rFonts w:ascii="Times New Roman" w:hAnsi="Times New Roman" w:cs="Times New Roman"/>
          <w:b w:val="0"/>
          <w:bCs w:val="0"/>
        </w:rPr>
        <w:t xml:space="preserve">ми видами юридических лиц», неукоснительно ими руководствуются и осознают серьезность последствий, к которым может привести их несоблюдение.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возникновения у Участника подозрений, что произошло или может произойти нарушение каких-либо положений Ант</w:t>
      </w:r>
      <w:r>
        <w:rPr>
          <w:rFonts w:ascii="Times New Roman" w:hAnsi="Times New Roman" w:cs="Times New Roman"/>
          <w:b w:val="0"/>
          <w:bCs w:val="0"/>
        </w:rPr>
        <w:t xml:space="preserve">имонопольного законодательства, либо Закона 223-ФЗ, он обязуется уведомить об этом Организатора закупки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</w:t>
      </w:r>
      <w:r>
        <w:rPr>
          <w:rFonts w:ascii="Times New Roman" w:hAnsi="Times New Roman" w:cs="Times New Roman"/>
          <w:b w:val="0"/>
          <w:bCs w:val="0"/>
        </w:rPr>
        <w:t xml:space="preserve">ие предполагать, что произошло или может произойти нарушение каких-либо положений Антимонопольного законодательства со стороны Организатора закупки, его аффилированных лиц, работников или посредников.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Направить уведомление АО «Россети Янтарь» можно почтой </w:t>
      </w:r>
      <w:r>
        <w:rPr>
          <w:rFonts w:ascii="Times New Roman" w:hAnsi="Times New Roman" w:cs="Times New Roman"/>
          <w:b w:val="0"/>
          <w:bCs w:val="0"/>
        </w:rPr>
        <w:t xml:space="preserve">по адресу: 236035, а/я 5065 или через форму обратной связи на сайте Общества.</w:t>
      </w:r>
      <w:bookmarkEnd w:id="26"/>
      <w:r/>
      <w:r>
        <w:rPr>
          <w:b w:val="0"/>
        </w:rPr>
      </w:r>
    </w:p>
    <w:p>
      <w:pPr>
        <w:pStyle w:val="1453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14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8" w:name="_Toc12"/>
      <w:r>
        <w:rPr>
          <w:sz w:val="24"/>
          <w:szCs w:val="24"/>
        </w:rPr>
        <w:t xml:space="preserve">ДОКУМЕНТАЦИЯ О ЗАКУПКЕ</w:t>
      </w:r>
      <w:bookmarkEnd w:id="28"/>
      <w:r/>
      <w:r>
        <w:rPr>
          <w:sz w:val="24"/>
          <w:szCs w:val="24"/>
        </w:rPr>
      </w:r>
    </w:p>
    <w:p>
      <w:pPr>
        <w:pStyle w:val="114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9" w:name="_Ref11225592"/>
      <w:r/>
      <w:bookmarkStart w:id="30" w:name="_Toc13"/>
      <w:r>
        <w:rPr>
          <w:sz w:val="24"/>
          <w:szCs w:val="24"/>
        </w:rPr>
        <w:t xml:space="preserve">Предоставление документации</w:t>
      </w:r>
      <w:bookmarkEnd w:id="29"/>
      <w:r>
        <w:rPr>
          <w:sz w:val="24"/>
          <w:szCs w:val="24"/>
        </w:rPr>
        <w:t xml:space="preserve"> о закупке</w:t>
      </w:r>
      <w:bookmarkEnd w:id="30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</w:t>
      </w:r>
      <w:r>
        <w:rPr>
          <w:rFonts w:ascii="Times New Roman" w:hAnsi="Times New Roman" w:cs="Times New Roman"/>
          <w:b w:val="0"/>
          <w:bCs w:val="0"/>
        </w:rPr>
        <w:t xml:space="preserve">е Единой информационной системы </w:t>
      </w:r>
      <w:hyperlink r:id="rId23" w:tooltip="www.zakupki.gov.ru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www.zakupki.gov.ru</w:t>
        </w:r>
      </w:hyperlink>
      <w:r>
        <w:rPr>
          <w:rFonts w:ascii="Times New Roman" w:hAnsi="Times New Roman" w:cs="Times New Roman"/>
          <w:b w:val="0"/>
          <w:bCs w:val="0"/>
        </w:rPr>
        <w:t xml:space="preserve">, а также на сайте электронной торговой площа</w:t>
      </w:r>
      <w:r>
        <w:rPr>
          <w:rFonts w:ascii="Times New Roman" w:hAnsi="Times New Roman" w:cs="Times New Roman"/>
          <w:b w:val="0"/>
          <w:bCs w:val="0"/>
        </w:rPr>
        <w:t xml:space="preserve">дки (далее – ЭТП), указанной в пункте </w:t>
      </w:r>
      <w:hyperlink w:tooltip="#_Адрес_электронной_площадки" w:anchor="_Адрес_электронной_площадки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10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31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</w:t>
      </w:r>
      <w:r>
        <w:rPr>
          <w:rFonts w:ascii="Times New Roman" w:hAnsi="Times New Roman" w:cs="Times New Roman"/>
          <w:b w:val="0"/>
          <w:bCs w:val="0"/>
        </w:rPr>
        <w:t xml:space="preserve">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2" w:name="_Toc14"/>
      <w:r>
        <w:rPr>
          <w:sz w:val="24"/>
          <w:szCs w:val="24"/>
        </w:rPr>
        <w:t xml:space="preserve">Разъяснение положений документации о закупке</w:t>
      </w:r>
      <w:bookmarkEnd w:id="32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3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электронной площадки Заказчику запрос о даче разъяснений положений документации о закупке. Порядок подачи запроса на разъяснения положений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</w:t>
      </w:r>
      <w:hyperlink w:tooltip="#_Порядок,_дата_начала," w:anchor="_Порядок,_дата_начала,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9 части II «ИН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документации о закупке и размещает их в ЕИС с указанием предмета запроса, но без указания участника такой закупки, от которого </w:t>
      </w:r>
      <w:r>
        <w:rPr>
          <w:rFonts w:ascii="Times New Roman" w:hAnsi="Times New Roman" w:cs="Times New Roman"/>
          <w:b w:val="0"/>
          <w:bCs w:val="0"/>
        </w:rPr>
        <w:t xml:space="preserve">поступил указанный запрос. При этом Заказчик вправе не осуществлять такое разъяснение </w:t>
      </w:r>
      <w:r>
        <w:rPr>
          <w:rFonts w:ascii="Times New Roman" w:hAnsi="Times New Roman" w:cs="Times New Roman"/>
          <w:b w:val="0"/>
          <w:bCs w:val="0"/>
        </w:rPr>
        <w:t xml:space="preserve">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33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</w:t>
      </w:r>
      <w:r>
        <w:rPr>
          <w:rFonts w:ascii="Times New Roman" w:hAnsi="Times New Roman" w:cs="Times New Roman"/>
          <w:b w:val="0"/>
          <w:bCs w:val="0"/>
        </w:rPr>
        <w:t xml:space="preserve">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" w:name="_Ref119429410"/>
      <w:r/>
      <w:bookmarkStart w:id="35" w:name="_Toc15"/>
      <w:r>
        <w:rPr>
          <w:sz w:val="24"/>
          <w:szCs w:val="24"/>
        </w:rPr>
        <w:t xml:space="preserve">Внесение изменений в извещение о </w:t>
      </w:r>
      <w:bookmarkEnd w:id="34"/>
      <w:r>
        <w:rPr>
          <w:sz w:val="24"/>
          <w:szCs w:val="24"/>
        </w:rPr>
        <w:t xml:space="preserve">закупке и/или документацию о закупке</w:t>
      </w:r>
      <w:bookmarkEnd w:id="35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</w:t>
      </w:r>
      <w:r>
        <w:rPr>
          <w:rFonts w:ascii="Times New Roman" w:hAnsi="Times New Roman" w:cs="Times New Roman"/>
          <w:b w:val="0"/>
        </w:rPr>
        <w:t xml:space="preserve">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</w:t>
      </w:r>
      <w:r>
        <w:rPr>
          <w:rFonts w:ascii="Times New Roman" w:hAnsi="Times New Roman" w:cs="Times New Roman"/>
          <w:b w:val="0"/>
        </w:rPr>
        <w:t xml:space="preserve">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6" w:name="_Toc16"/>
      <w:r>
        <w:rPr>
          <w:sz w:val="24"/>
          <w:szCs w:val="24"/>
        </w:rPr>
        <w:t xml:space="preserve">Отмена закупки</w:t>
      </w:r>
      <w:bookmarkEnd w:id="36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7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7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8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14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9" w:name="_ТРЕБОВАНИЯ_К_СОДЕРЖАНИЮ"/>
      <w:r/>
      <w:bookmarkStart w:id="40" w:name="_Ref166159542"/>
      <w:r/>
      <w:bookmarkStart w:id="41" w:name="_Ref166159546"/>
      <w:r/>
      <w:bookmarkStart w:id="42" w:name="_Ref166250138"/>
      <w:r/>
      <w:bookmarkStart w:id="43" w:name="_Ref166250141"/>
      <w:r/>
      <w:bookmarkStart w:id="44" w:name="_Toc17"/>
      <w:r/>
      <w:bookmarkEnd w:id="38"/>
      <w:r/>
      <w:bookmarkEnd w:id="39"/>
      <w:r>
        <w:rPr>
          <w:sz w:val="24"/>
          <w:szCs w:val="24"/>
        </w:rPr>
        <w:t xml:space="preserve">ТРЕБОВАНИЯ К СОДЕРЖАНИЮ ЗАЯВКИ НА УЧАСТИЕ В </w:t>
      </w:r>
      <w:bookmarkEnd w:id="40"/>
      <w:r/>
      <w:bookmarkEnd w:id="41"/>
      <w:r/>
      <w:bookmarkEnd w:id="42"/>
      <w:r/>
      <w:bookmarkEnd w:id="43"/>
      <w:r>
        <w:rPr>
          <w:sz w:val="24"/>
          <w:szCs w:val="24"/>
        </w:rPr>
        <w:t xml:space="preserve">ЗАКУПКЕ</w:t>
      </w:r>
      <w:bookmarkEnd w:id="44"/>
      <w:r/>
      <w:r>
        <w:rPr>
          <w:sz w:val="24"/>
          <w:szCs w:val="24"/>
        </w:rPr>
      </w:r>
    </w:p>
    <w:p>
      <w:pPr>
        <w:pStyle w:val="114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45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6" w:name="_Ref166246797"/>
      <w:r/>
      <w:bookmarkStart w:id="47" w:name="_Ref119429784"/>
      <w:r/>
      <w:bookmarkStart w:id="48" w:name="_Ref119429817"/>
      <w:r/>
      <w:bookmarkStart w:id="49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</w:t>
      </w:r>
      <w:r>
        <w:rPr>
          <w:rFonts w:ascii="Times New Roman" w:hAnsi="Times New Roman" w:cs="Times New Roman"/>
          <w:b w:val="0"/>
          <w:bCs w:val="0"/>
        </w:rPr>
        <w:t xml:space="preserve">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</w:t>
      </w:r>
      <w:r>
        <w:rPr>
          <w:rFonts w:ascii="Times New Roman" w:hAnsi="Times New Roman" w:cs="Times New Roman"/>
          <w:b w:val="0"/>
          <w:bCs w:val="0"/>
        </w:rPr>
        <w:t xml:space="preserve">оответствии с требованиями </w:t>
      </w:r>
      <w:hyperlink w:tooltip="#_ТРЕБОВАНИЯ_К_СОДЕРЖАНИЮ" w:anchor="_ТРЕБОВАНИЯ_К_СОДЕРЖАНИЮ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раздела 3 «ТРЕБОВАНИЯ К СОДЕРЖАНИЮ ЗАЯВКИ НА УЧАСТИЕ В ЗАКУПКЕ»</w:t>
        </w:r>
        <w:r>
          <w:rPr>
            <w:rStyle w:val="1360"/>
            <w:rFonts w:ascii="Times New Roman" w:hAnsi="Times New Roman" w:cs="Times New Roman"/>
            <w:b w:val="0"/>
          </w:rPr>
          <w:t xml:space="preserve"> части </w:t>
        </w:r>
        <w:r>
          <w:rPr>
            <w:rStyle w:val="1360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360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</w:t>
      </w:r>
      <w:r>
        <w:rPr>
          <w:rFonts w:ascii="Times New Roman" w:hAnsi="Times New Roman" w:cs="Times New Roman"/>
          <w:b w:val="0"/>
          <w:bCs w:val="0"/>
        </w:rPr>
        <w:t xml:space="preserve">енными частью </w:t>
      </w:r>
      <w:hyperlink w:tooltip="#_ОБРАЗЦЫ_ФОРМ_ДЛЯ" w:anchor="_ОБРАЗЦЫ_ФОРМ_ДЛЯ" w:history="1">
        <w:r>
          <w:rPr>
            <w:rStyle w:val="1360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6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</w:t>
      </w:r>
      <w:r>
        <w:rPr>
          <w:rFonts w:ascii="Times New Roman" w:hAnsi="Times New Roman" w:cs="Times New Roman"/>
          <w:b w:val="0"/>
          <w:bCs w:val="0"/>
        </w:rPr>
        <w:t xml:space="preserve">ованиями действующих нормативных правовых актов, если иное не указано в части </w:t>
      </w:r>
      <w:hyperlink w:tooltip="#_ТЕХНИЧЕСКАЯ_ЧАСТЬ" w:anchor="_ТЕХНИЧЕСКАЯ_ЧАСТЬ" w:history="1">
        <w:r>
          <w:rPr>
            <w:rStyle w:val="1360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60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</w:t>
      </w:r>
      <w:r>
        <w:rPr>
          <w:rFonts w:ascii="Times New Roman" w:hAnsi="Times New Roman" w:cs="Times New Roman"/>
          <w:b w:val="0"/>
          <w:bCs w:val="0"/>
        </w:rPr>
        <w:t xml:space="preserve"> толкований.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</w:t>
      </w:r>
      <w:r>
        <w:rPr>
          <w:rFonts w:ascii="Times New Roman" w:hAnsi="Times New Roman" w:cs="Times New Roman"/>
          <w:b w:val="0"/>
          <w:bCs w:val="0"/>
        </w:rPr>
        <w:t xml:space="preserve">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</w:t>
      </w:r>
      <w:r>
        <w:rPr>
          <w:rFonts w:ascii="Times New Roman" w:hAnsi="Times New Roman" w:cs="Times New Roman"/>
          <w:b w:val="0"/>
          <w:bCs w:val="0"/>
        </w:rPr>
        <w:t xml:space="preserve">ки на участие в закупке, должны быть заполнены по всем пунктам, за исключением пунктов, носящих рекомендательный характер.</w:t>
      </w:r>
      <w:bookmarkStart w:id="51" w:name="_Ref16631315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закупки сведений, в том числе содержащих</w:t>
      </w:r>
      <w:r>
        <w:rPr>
          <w:rFonts w:ascii="Times New Roman" w:hAnsi="Times New Roman" w:cs="Times New Roman"/>
          <w:b w:val="0"/>
          <w:bCs w:val="0"/>
        </w:rPr>
        <w:t xml:space="preserve">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52" w:name="_Toc19"/>
      <w:r/>
      <w:bookmarkEnd w:id="51"/>
      <w:r>
        <w:rPr>
          <w:sz w:val="24"/>
          <w:szCs w:val="24"/>
        </w:rPr>
        <w:t xml:space="preserve">Язык документов, входящих в соста</w:t>
      </w:r>
      <w:r>
        <w:rPr>
          <w:sz w:val="24"/>
          <w:szCs w:val="24"/>
        </w:rPr>
        <w:t xml:space="preserve">в заявки на участие в закупке</w:t>
      </w:r>
      <w:bookmarkEnd w:id="52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</w:t>
      </w:r>
      <w:r>
        <w:rPr>
          <w:rFonts w:ascii="Times New Roman" w:hAnsi="Times New Roman" w:cs="Times New Roman"/>
          <w:b w:val="0"/>
          <w:bCs w:val="0"/>
        </w:rPr>
        <w:t xml:space="preserve">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</w:t>
      </w:r>
      <w:r>
        <w:rPr>
          <w:rFonts w:ascii="Times New Roman" w:hAnsi="Times New Roman" w:cs="Times New Roman"/>
          <w:b w:val="0"/>
          <w:bCs w:val="0"/>
        </w:rPr>
        <w:t xml:space="preserve">новании перевода.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3" w:name="_Toc20"/>
      <w:r>
        <w:rPr>
          <w:sz w:val="24"/>
          <w:szCs w:val="24"/>
        </w:rPr>
        <w:t xml:space="preserve">Требования к валюте заявки</w:t>
      </w:r>
      <w:bookmarkEnd w:id="53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4" w:name="_Hlt517806775"/>
      <w:r/>
      <w:bookmarkStart w:id="55" w:name="_Ref52534291"/>
      <w:r/>
      <w:bookmarkEnd w:id="54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</w:t>
      </w:r>
      <w:r>
        <w:rPr>
          <w:rFonts w:ascii="Times New Roman" w:hAnsi="Times New Roman" w:cs="Times New Roman"/>
          <w:b w:val="0"/>
        </w:rPr>
        <w:t xml:space="preserve">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</w:t>
      </w:r>
      <w:r>
        <w:rPr>
          <w:rFonts w:ascii="Times New Roman" w:hAnsi="Times New Roman" w:cs="Times New Roman"/>
          <w:b w:val="0"/>
        </w:rPr>
        <w:t xml:space="preserve">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Toc21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7"/>
      <w:r/>
      <w:bookmarkEnd w:id="48"/>
      <w:r/>
      <w:bookmarkEnd w:id="49"/>
      <w:r/>
      <w:bookmarkEnd w:id="56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7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Сведения_и_документы," w:anchor="_Сведения_и_документы," w:history="1">
        <w:r>
          <w:rPr>
            <w:rStyle w:val="1360"/>
            <w:rFonts w:ascii="Times New Roman" w:hAnsi="Times New Roman" w:cs="Times New Roman"/>
            <w:b w:val="0"/>
          </w:rPr>
          <w:t xml:space="preserve">17 части II «ИНФОРМАЦИОННАЯ КАРТА 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ЗАКУПК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И</w:t>
        </w:r>
        <w:r>
          <w:rPr>
            <w:rStyle w:val="1360"/>
            <w:rFonts w:ascii="Times New Roman" w:hAnsi="Times New Roman" w:cs="Times New Roman"/>
            <w:b w:val="0"/>
          </w:rPr>
          <w:t xml:space="preserve">»</w:t>
        </w:r>
        <w:bookmarkEnd w:id="57"/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 должна быть действительна в течение срока, указанного участником закупки в письме о подаче оферты. В любом случае этот срок </w:t>
      </w:r>
      <w:r>
        <w:rPr>
          <w:rFonts w:ascii="Times New Roman" w:hAnsi="Times New Roman" w:cs="Times New Roman"/>
        </w:rPr>
        <w:t xml:space="preserve">не должен быть менее, чем 90</w:t>
      </w:r>
      <w:r>
        <w:rPr>
          <w:rStyle w:val="1471"/>
          <w:rFonts w:ascii="Times New Roman" w:hAnsi="Times New Roman" w:cs="Times New Roman"/>
          <w:i w:val="0"/>
          <w:shd w:val="clear" w:color="auto" w:fill="auto"/>
        </w:rPr>
        <w:t xml:space="preserve"> </w:t>
      </w:r>
      <w:r>
        <w:rPr>
          <w:rFonts w:ascii="Times New Roman" w:hAnsi="Times New Roman" w:cs="Times New Roman"/>
        </w:rPr>
        <w:t xml:space="preserve">календарных дней со дня</w:t>
      </w:r>
      <w:r>
        <w:rPr>
          <w:rFonts w:ascii="Times New Roman" w:hAnsi="Times New Roman" w:cs="Times New Roman"/>
          <w:b w:val="0"/>
        </w:rPr>
        <w:t xml:space="preserve">, следующего за днем окончания подачи заявок, указанном в пункте </w:t>
      </w:r>
      <w:hyperlink w:tooltip="#_Дата_рассмотрения_предложений" w:anchor="_Дата_рассмотрения_предложений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пункте </w:t>
      </w:r>
      <w:hyperlink w:tooltip="#_Сведения_и_документы," w:anchor="_Сведения_и_документы," w:history="1">
        <w:r>
          <w:rPr>
            <w:rStyle w:val="1360"/>
            <w:rFonts w:ascii="Times New Roman" w:hAnsi="Times New Roman" w:cs="Times New Roman"/>
            <w:b w:val="0"/>
          </w:rPr>
          <w:t xml:space="preserve">17 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Закупочная комиссия отклоняет заявку, поданную на участие в закупке.</w:t>
      </w:r>
      <w:bookmarkEnd w:id="5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</w:t>
      </w:r>
      <w:r>
        <w:rPr>
          <w:rFonts w:ascii="Times New Roman" w:hAnsi="Times New Roman" w:cs="Times New Roman"/>
          <w:b w:val="0"/>
          <w:bCs w:val="0"/>
        </w:rPr>
        <w:t xml:space="preserve">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</w:t>
      </w:r>
      <w:r>
        <w:rPr>
          <w:rFonts w:ascii="Times New Roman" w:hAnsi="Times New Roman" w:cs="Times New Roman"/>
          <w:b w:val="0"/>
          <w:bCs w:val="0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9" w:name="_3.4.5._В_с"/>
      <w:r/>
      <w:bookmarkStart w:id="60" w:name="_В_случае,_если"/>
      <w:r/>
      <w:bookmarkEnd w:id="59"/>
      <w:r/>
      <w:bookmarkEnd w:id="60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</w:t>
      </w:r>
      <w:r>
        <w:rPr>
          <w:rFonts w:ascii="Times New Roman" w:hAnsi="Times New Roman" w:cs="Times New Roman"/>
          <w:b w:val="0"/>
          <w:bCs w:val="0"/>
        </w:rPr>
        <w:t xml:space="preserve">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53"/>
        <w:numPr>
          <w:ilvl w:val="0"/>
          <w:numId w:val="8"/>
        </w:numPr>
        <w:ind w:left="0" w:firstLine="567"/>
        <w:jc w:val="both"/>
      </w:pPr>
      <w:r>
        <w:t xml:space="preserve">в соглашении должны быть четко оп</w:t>
      </w:r>
      <w:r>
        <w:t xml:space="preserve">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/>
    </w:p>
    <w:p>
      <w:pPr>
        <w:pStyle w:val="1453"/>
        <w:numPr>
          <w:ilvl w:val="0"/>
          <w:numId w:val="8"/>
        </w:numPr>
        <w:ind w:left="0" w:firstLine="567"/>
        <w:jc w:val="both"/>
      </w:pPr>
      <w:r>
        <w:t xml:space="preserve">в соглашении должно быть приведено распределение объемов, стоимости (в процентах) и сроков выполнения работ</w:t>
      </w:r>
      <w:r>
        <w:t xml:space="preserve">/услуг/поставок между членами коллективного участника;</w:t>
      </w:r>
      <w:r/>
    </w:p>
    <w:p>
      <w:pPr>
        <w:pStyle w:val="1453"/>
        <w:numPr>
          <w:ilvl w:val="0"/>
          <w:numId w:val="8"/>
        </w:numPr>
        <w:ind w:left="0" w:firstLine="567"/>
        <w:jc w:val="both"/>
      </w:pPr>
      <w:r>
        <w:t xml:space="preserve">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/>
    </w:p>
    <w:p>
      <w:pPr>
        <w:pStyle w:val="1453"/>
        <w:numPr>
          <w:ilvl w:val="0"/>
          <w:numId w:val="8"/>
        </w:numPr>
        <w:ind w:left="0" w:firstLine="567"/>
        <w:jc w:val="both"/>
      </w:pPr>
      <w:r>
        <w:t xml:space="preserve">в соглашении должна </w:t>
      </w:r>
      <w:r>
        <w:t xml:space="preserve">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/>
    </w:p>
    <w:p>
      <w:pPr>
        <w:pStyle w:val="1453"/>
        <w:numPr>
          <w:ilvl w:val="0"/>
          <w:numId w:val="8"/>
        </w:numPr>
        <w:ind w:left="0" w:firstLine="567"/>
        <w:jc w:val="both"/>
      </w:pPr>
      <w:r>
        <w:t xml:space="preserve">соглашением должно быть предусмо</w:t>
      </w:r>
      <w:r>
        <w:t xml:space="preserve">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/>
    </w:p>
    <w:p>
      <w:pPr>
        <w:pStyle w:val="1453"/>
        <w:numPr>
          <w:ilvl w:val="0"/>
          <w:numId w:val="8"/>
        </w:numPr>
        <w:ind w:left="0" w:firstLine="567"/>
        <w:jc w:val="both"/>
        <w:rPr>
          <w:bCs/>
        </w:rPr>
      </w:pPr>
      <w:r>
        <w:t xml:space="preserve">срок действия соглашения должен быть не менее, чем срок действия договора.</w:t>
      </w:r>
      <w:r>
        <w:rPr>
          <w:bCs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1" w:name="_3.4.6._В_с"/>
      <w:r/>
      <w:bookmarkStart w:id="62" w:name="_В_случае,_если_1"/>
      <w:r/>
      <w:bookmarkEnd w:id="61"/>
      <w:r/>
      <w:bookmarkEnd w:id="62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</w:t>
      </w:r>
      <w:r>
        <w:rPr>
          <w:rFonts w:ascii="Times New Roman" w:hAnsi="Times New Roman" w:cs="Times New Roman"/>
          <w:b w:val="0"/>
          <w:bCs w:val="0"/>
        </w:rPr>
        <w:t xml:space="preserve">ний: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53"/>
        <w:numPr>
          <w:ilvl w:val="0"/>
          <w:numId w:val="8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pStyle w:val="1453"/>
        <w:numPr>
          <w:ilvl w:val="0"/>
          <w:numId w:val="8"/>
        </w:numPr>
        <w:ind w:left="0" w:firstLine="567"/>
        <w:jc w:val="both"/>
        <w:rPr>
          <w:rStyle w:val="1360"/>
          <w:bCs/>
        </w:rPr>
      </w:pPr>
      <w:r>
        <w:t xml:space="preserve">в отношении каждого из членов коллективного участника предоставляются документы и сведения, предусмотренные пунктом </w:t>
      </w:r>
      <w:hyperlink w:tooltip="#_Сведения_и_документы," w:anchor="_Сведения_и_документы," w:history="1">
        <w:r>
          <w:rPr>
            <w:rStyle w:val="1360"/>
          </w:rPr>
          <w:t xml:space="preserve">17 части II «ИНФОРМАЦИОННАЯ КАРТА ЗАКУПКИ»</w:t>
        </w:r>
      </w:hyperlink>
      <w:r>
        <w:rPr>
          <w:rStyle w:val="1360"/>
          <w:bCs/>
          <w:color w:val="000000" w:themeColor="text1"/>
          <w:u w:val="none"/>
        </w:rPr>
        <w:t xml:space="preserve">.</w:t>
      </w:r>
      <w:r>
        <w:rPr>
          <w:rStyle w:val="1360"/>
          <w:bCs/>
        </w:rPr>
      </w:r>
    </w:p>
    <w:p>
      <w:pPr>
        <w:pStyle w:val="1453"/>
        <w:numPr>
          <w:ilvl w:val="0"/>
          <w:numId w:val="8"/>
        </w:numPr>
        <w:ind w:left="0" w:firstLine="567"/>
        <w:jc w:val="both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pStyle w:val="1453"/>
        <w:numPr>
          <w:ilvl w:val="0"/>
          <w:numId w:val="8"/>
        </w:numPr>
        <w:ind w:left="0" w:firstLine="567"/>
        <w:jc w:val="both"/>
      </w:pPr>
      <w:r>
        <w:t xml:space="preserve">в состав заявки дополнительно вк</w:t>
      </w:r>
      <w:r>
        <w:t xml:space="preserve">лючается соглашение между членами коллективного участника.</w:t>
      </w:r>
      <w:r/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Toc22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63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4" w:name="_Ref166314630"/>
      <w:r/>
      <w:bookmarkStart w:id="65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 (цену лота), указанную в извещении заку</w:t>
      </w:r>
      <w:r>
        <w:rPr>
          <w:rFonts w:ascii="Times New Roman" w:hAnsi="Times New Roman" w:cs="Times New Roman"/>
          <w:b w:val="0"/>
          <w:bCs w:val="0"/>
        </w:rPr>
        <w:t xml:space="preserve">пке и в пункте </w:t>
      </w:r>
      <w:hyperlink w:tooltip="#_Сведения_о_начальной" w:anchor="_Сведения_о_начальной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64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(далее также -</w:t>
      </w:r>
      <w:r>
        <w:rPr>
          <w:rFonts w:ascii="Times New Roman" w:hAnsi="Times New Roman" w:cs="Times New Roman"/>
          <w:b w:val="0"/>
          <w:bCs w:val="0"/>
        </w:rPr>
        <w:t xml:space="preserve">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6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</w:t>
      </w:r>
      <w:r>
        <w:rPr>
          <w:rFonts w:ascii="Times New Roman" w:hAnsi="Times New Roman" w:cs="Times New Roman"/>
          <w:b w:val="0"/>
          <w:bCs w:val="0"/>
        </w:rPr>
        <w:t xml:space="preserve">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</w:t>
      </w:r>
      <w:r>
        <w:rPr>
          <w:rFonts w:ascii="Times New Roman" w:hAnsi="Times New Roman" w:cs="Times New Roman"/>
          <w:b w:val="0"/>
          <w:bCs w:val="0"/>
        </w:rPr>
        <w:t xml:space="preserve">оборудования и стоимости его монтажа, либо установления стоимостей отдельных договоров, если п</w:t>
      </w:r>
      <w:r>
        <w:rPr>
          <w:rFonts w:ascii="Times New Roman" w:hAnsi="Times New Roman" w:cs="Times New Roman"/>
          <w:b w:val="0"/>
          <w:bCs w:val="0"/>
        </w:rPr>
        <w:t xml:space="preserve">о результатам закупки будет заключено несколько договоров и т.п.)</w:t>
      </w:r>
      <w:r>
        <w:rPr>
          <w:rFonts w:ascii="Times New Roman" w:hAnsi="Times New Roman" w:cs="Times New Roman"/>
          <w:b w:val="0"/>
        </w:rPr>
        <w:t xml:space="preserve"> если иное не установлено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53"/>
        <w:numPr>
          <w:ilvl w:val="2"/>
          <w:numId w:val="1"/>
        </w:numPr>
        <w:ind w:left="0" w:firstLine="567"/>
        <w:jc w:val="both"/>
      </w:pPr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</w:t>
      </w:r>
      <w:r>
        <w:t xml:space="preserve">(цены предложения на переторжке (далее - дополнительных ценовых предложений))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</w:t>
      </w:r>
      <w:r>
        <w:rPr>
          <w:rFonts w:ascii="Times New Roman" w:hAnsi="Times New Roman" w:cs="Times New Roman"/>
          <w:b w:val="0"/>
          <w:bCs w:val="0"/>
        </w:rPr>
        <w:t xml:space="preserve">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</w:t>
      </w:r>
      <w:r>
        <w:rPr>
          <w:rFonts w:ascii="Times New Roman" w:hAnsi="Times New Roman" w:cs="Times New Roman"/>
          <w:b w:val="0"/>
          <w:bCs w:val="0"/>
        </w:rPr>
        <w:t xml:space="preserve">иное не установлено документацией о закупке.</w:t>
      </w:r>
      <w:bookmarkEnd w:id="66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</w:t>
      </w:r>
      <w:r>
        <w:rPr>
          <w:rFonts w:ascii="Times New Roman" w:hAnsi="Times New Roman" w:cs="Times New Roman"/>
          <w:b w:val="0"/>
          <w:bCs w:val="0"/>
        </w:rPr>
        <w:t xml:space="preserve">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hyperlink w:tooltip="#_ТЕХНИЧЕСКАЯ_ЧАСТЬ" w:anchor="_ТЕХНИЧЕСКАЯ_ЧАСТЬ" w:history="1">
        <w:r>
          <w:rPr>
            <w:rStyle w:val="1360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60"/>
            <w:rFonts w:ascii="Times New Roman" w:hAnsi="Times New Roman" w:cs="Times New Roman"/>
            <w:b w:val="0"/>
          </w:rPr>
          <w:t xml:space="preserve">«ТЕ</w:t>
        </w:r>
        <w:r>
          <w:rPr>
            <w:rStyle w:val="1360"/>
            <w:rFonts w:ascii="Times New Roman" w:hAnsi="Times New Roman" w:cs="Times New Roman"/>
            <w:b w:val="0"/>
          </w:rPr>
          <w:t xml:space="preserve">ХНИЧЕСКАЯ ЧАСТЬ»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 формами, установленными в части </w:t>
      </w:r>
      <w:hyperlink w:tooltip="#_РАЗДЕЛ_I_4_ОБРАЗЦЫ_ФОРМ_И_ДОКУМЕНТО" w:anchor="_РАЗДЕЛ_I_4_ОБРАЗЦЫ_ФОРМ_И_ДОКУМЕНТО" w:history="1">
        <w:r>
          <w:rPr>
            <w:rStyle w:val="1360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обязательный характер. Участник закупки может п</w:t>
      </w:r>
      <w:r>
        <w:rPr>
          <w:rFonts w:ascii="Times New Roman" w:hAnsi="Times New Roman" w:cs="Times New Roman"/>
          <w:b w:val="0"/>
          <w:bCs w:val="0"/>
        </w:rPr>
        <w:t xml:space="preserve">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hyperlink w:tooltip="#_ТЕХНИЧЕСКАЯ_ЧАСТЬ" w:anchor="_ТЕХНИЧЕСКАЯ_ЧАСТЬ" w:history="1">
        <w:r>
          <w:rPr>
            <w:rStyle w:val="1360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60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7" w:name="_Hlk160542448"/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</w:t>
      </w:r>
      <w:bookmarkEnd w:id="67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</w:t>
      </w:r>
      <w:r>
        <w:rPr>
          <w:rFonts w:ascii="Times New Roman" w:hAnsi="Times New Roman" w:cs="Times New Roman"/>
          <w:b w:val="0"/>
          <w:bCs w:val="0"/>
        </w:rPr>
        <w:t xml:space="preserve">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</w:t>
      </w:r>
      <w:r>
        <w:rPr>
          <w:rFonts w:ascii="Times New Roman" w:hAnsi="Times New Roman" w:cs="Times New Roman"/>
          <w:b w:val="0"/>
          <w:bCs w:val="0"/>
        </w:rPr>
        <w:t xml:space="preserve">установленными  части </w:t>
      </w:r>
      <w:hyperlink w:tooltip="#_ТЕХНИЧЕСКАЯ_ЧАСТЬ" w:anchor="_ТЕХНИЧЕСКАЯ_ЧАСТЬ" w:history="1">
        <w:r>
          <w:rPr>
            <w:rStyle w:val="1360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60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</w:t>
      </w:r>
      <w:hyperlink w:tooltip="#_ТЕХНИЧЕСКАЯ_ЧАСТЬ" w:anchor="_ТЕХНИЧЕСКАЯ_ЧАСТЬ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</w:t>
      </w:r>
      <w:r>
        <w:rPr>
          <w:rFonts w:ascii="Times New Roman" w:hAnsi="Times New Roman" w:cs="Times New Roman"/>
          <w:b w:val="0"/>
          <w:bCs w:val="0"/>
        </w:rPr>
        <w:t xml:space="preserve">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в случае предложения эквивалентной продукции при описании ее обяз</w:t>
      </w:r>
      <w:r>
        <w:rPr>
          <w:rFonts w:ascii="Times New Roman" w:hAnsi="Times New Roman" w:cs="Times New Roman"/>
          <w:b w:val="0"/>
          <w:bCs w:val="0"/>
        </w:rPr>
        <w:t xml:space="preserve">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</w:t>
      </w:r>
      <w:r>
        <w:rPr>
          <w:rFonts w:ascii="Times New Roman" w:hAnsi="Times New Roman" w:cs="Times New Roman"/>
          <w:b w:val="0"/>
          <w:bCs w:val="0"/>
        </w:rPr>
        <w:t xml:space="preserve">тветствии с законодательством и требованиями настоящей документации о закупке.</w:t>
      </w:r>
      <w:r/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3.6._Требо"/>
      <w:r/>
      <w:bookmarkStart w:id="69" w:name="_Требования_к_обеспечению"/>
      <w:r/>
      <w:bookmarkStart w:id="70" w:name="_Ref119429503"/>
      <w:r/>
      <w:bookmarkStart w:id="71" w:name="_Toc23"/>
      <w:r/>
      <w:bookmarkEnd w:id="68"/>
      <w:r/>
      <w:bookmarkEnd w:id="65"/>
      <w:r/>
      <w:bookmarkEnd w:id="69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70"/>
      <w:r/>
      <w:bookmarkEnd w:id="71"/>
      <w:r/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/>
      <w:bookmarkStart w:id="72" w:name="_Возврат_участнику_закупки"/>
      <w:r/>
      <w:bookmarkStart w:id="73" w:name="_Ref535415072"/>
      <w:r/>
      <w:bookmarkEnd w:id="72"/>
      <w:r>
        <w:t xml:space="preserve">В случае если размер начальной (максимальной) цены закупки (цены лота) превышает 5 (пять) миллионов рублей с НДС Заказчик вп</w:t>
      </w:r>
      <w:r>
        <w:t xml:space="preserve">раве установить в документации о закупке требование к обеспечению заявок на участие в закупке в размере не более 5 (пяти) процентов от начальной (максимальной) цены договора. Обеспечение заявки может быть </w:t>
      </w:r>
      <w:r>
        <w:t xml:space="preserve">представлено в форме внесения денежных средств или </w:t>
      </w:r>
      <w:r>
        <w:t xml:space="preserve">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Информация об ус</w:t>
      </w:r>
      <w:r>
        <w:t xml:space="preserve">тановлении требования о предоставлении обеспечения и размер такого обеспечения указывается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t xml:space="preserve">. </w:t>
      </w:r>
      <w:r/>
    </w:p>
    <w:p>
      <w:pPr>
        <w:numPr>
          <w:ilvl w:val="2"/>
          <w:numId w:val="1"/>
        </w:numPr>
        <w:ind w:left="0" w:firstLine="567"/>
        <w:spacing w:after="0"/>
        <w:rPr>
          <w:color w:val="0000ff"/>
          <w:u w:val="single"/>
        </w:rPr>
        <w:outlineLvl w:val="2"/>
      </w:pPr>
      <w:r>
        <w:t xml:space="preserve">Денежные средства вносятся участ</w:t>
      </w:r>
      <w:r>
        <w:t xml:space="preserve">ником закупки на Лицевой счет участника закупки, открытый оператором электронной площадки в соответствии с правилами, установленными Регламентом работы ЭТП</w:t>
      </w:r>
      <w:r>
        <w:rPr>
          <w:bCs/>
        </w:rPr>
        <w:t xml:space="preserve">. Информация о перечислении средств на Лицевой счет ЭТП, либо на </w:t>
      </w:r>
      <w:r>
        <w:t xml:space="preserve">счет Заказчика установлена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rPr>
          <w:color w:val="0000ff"/>
          <w:u w:val="single"/>
        </w:rPr>
        <w:t xml:space="preserve">.</w:t>
      </w:r>
      <w:r>
        <w:rPr>
          <w:color w:val="0000ff"/>
          <w:u w:val="single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Порядок и случаи блокирования денежных средств, внесенных участниками закупки в целях обеспечения заявок на участие в закупке, и прек</w:t>
      </w:r>
      <w:r>
        <w:t xml:space="preserve">ращения данного блокирования установлены действующим законодательством о закупках отдельных видов юридических лиц, а также Регламентом работы ЭТП. 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  Денежные средства, внесенные на счет Заказчика в качестве обеспечения заявки на участие в закупке возвраща</w:t>
      </w:r>
      <w:r>
        <w:rPr>
          <w:bCs/>
        </w:rPr>
        <w:t xml:space="preserve">ются:</w:t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всем участникам закупки, за исключением участника закупки, заявке которого присвоен первый номер, в срок не более 7 (семи) рабочих дней со дня подписания протокола, составленного по результатам закупки;</w:t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участнику закупки, заявке которого присвоен первый номер, в срок не более 7 (семи)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</w:t>
      </w:r>
      <w:r>
        <w:rPr>
          <w:bCs/>
        </w:rPr>
        <w:t xml:space="preserve">полнения договора было установлено в извещении о закупке и (или) документации о закупке).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Возврат участнику закупки денежных средств, внесенных в качестве обеспечения заявки, не производится, а независимая гарантия предъявляется банку-гаранту для выплаты с</w:t>
      </w:r>
      <w:r>
        <w:t xml:space="preserve">уммы обеспечения исполнения обязательств в следующих случаях:</w:t>
      </w:r>
      <w:bookmarkEnd w:id="73"/>
      <w:r/>
      <w:r/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документацией о закупк</w:t>
      </w:r>
      <w:r>
        <w:t xml:space="preserve">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</w:t>
      </w:r>
      <w:r>
        <w:t xml:space="preserve">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гарантию, составленную с учетом требований статей </w:t>
      </w:r>
      <w:hyperlink r:id="rId24" w:tooltip="https://www.consultant.ru/document/cons_doc_LAW_5142/03edc46b2ef855fddfaaa3d77dac1d071ef3dba1/" w:history="1">
        <w:r>
          <w:rPr>
            <w:color w:val="0000ff"/>
            <w:u w:val="single"/>
          </w:rPr>
          <w:t xml:space="preserve">368</w:t>
        </w:r>
      </w:hyperlink>
      <w:r>
        <w:t xml:space="preserve">-</w:t>
      </w:r>
      <w:hyperlink r:id="rId25" w:tooltip="https://www.consultant.ru/document/cons_doc_LAW_5142/e8b1dba1c6def4f632470a9857908caf60fec137/" w:history="1">
        <w:r>
          <w:rPr>
            <w:color w:val="0000ff"/>
            <w:u w:val="single"/>
          </w:rPr>
          <w:t xml:space="preserve">379</w:t>
        </w:r>
      </w:hyperlink>
      <w:r>
        <w:t xml:space="preserve"> Гражданского кодекса Российской Федерации и следующих условий: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</w:t>
      </w:r>
      <w:r>
        <w:rPr>
          <w:bCs/>
        </w:rPr>
        <w:t xml:space="preserve">ом, предусмотренным </w:t>
      </w:r>
      <w:hyperlink r:id="rId26" w:tooltip="https://www.consultant.ru/document/cons_doc_LAW_144624/af90cad46f4484d18fa490ef1c9d7a3b2fd3be3b/#dst2441" w:anchor="dst2441" w:history="1">
        <w:r>
          <w:rPr>
            <w:rStyle w:val="1360"/>
            <w:bCs/>
          </w:rPr>
          <w:t xml:space="preserve">частью 1 статьи 45 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может быть отозвана выдавшим ее гарантом;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срок </w:t>
      </w:r>
      <w:r>
        <w:t xml:space="preserve">действия независимой гарантии должен заканчиваться не ранее, чем через 60 календарных дней с даты окончания срока подачи заявок;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в независимой гарантии должно быть предусмотрена безусловная обязанность гаранта оплатить сумму независимой гарантии полностью </w:t>
      </w:r>
      <w:r>
        <w:t xml:space="preserve">или частично по письменному требованию бенефициара;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надлежащим обр</w:t>
      </w:r>
      <w:r>
        <w:t xml:space="preserve">азом оформленного требования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</w:t>
      </w:r>
      <w:r>
        <w:t xml:space="preserve">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499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rStyle w:val="1499"/>
          <w:vertAlign w:val="superscript"/>
        </w:rPr>
        <w:footnoteReference w:customMarkFollows="1" w:id="2"/>
        <w:t xml:space="preserve">1</w:t>
      </w:r>
      <w:r>
        <w:rPr>
          <w:rStyle w:val="1499"/>
        </w:rPr>
        <w:t xml:space="preserve">, и в отношении данной кредитной организ</w:t>
      </w:r>
      <w:r>
        <w:rPr>
          <w:rStyle w:val="1499"/>
        </w:rPr>
        <w:t xml:space="preserve">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499"/>
          <w:vertAlign w:val="superscript"/>
        </w:rPr>
        <w:footnoteReference w:customMarkFollows="1" w:id="3"/>
        <w:t xml:space="preserve">2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499"/>
        </w:rPr>
        <w:t xml:space="preserve">кредитная организация не находится в процессе слияния, присоединения, санации (финансового оздоровления), внешнего управления, з</w:t>
      </w:r>
      <w:r>
        <w:rPr>
          <w:rStyle w:val="1499"/>
        </w:rPr>
        <w:t xml:space="preserve">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</w:t>
      </w:r>
      <w:r>
        <w:rPr>
          <w:rStyle w:val="1499"/>
        </w:rPr>
        <w:t xml:space="preserve">рывности деятельности банка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19"/>
        </w:numPr>
        <w:ind w:left="0" w:firstLine="567"/>
        <w:spacing w:after="0"/>
      </w:pPr>
      <w:r/>
      <w:bookmarkStart w:id="74" w:name="_Hlk183437361"/>
      <w:r>
        <w:t xml:space="preserve">кредитная организация входит в перечень кредитных организаций, соответствующих требованиям, установленным частями 1 - 1.2 и 1.5 статьи 2 Федерального зак</w:t>
      </w:r>
      <w:r>
        <w:t xml:space="preserve">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bookmarkEnd w:id="74"/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для банков, банковская лицензия которых предпо</w:t>
      </w:r>
      <w:r>
        <w:t xml:space="preserve">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vertAlign w:val="superscript"/>
        </w:rPr>
        <w:footnoteReference w:customMarkFollows="1" w:id="4"/>
        <w:t xml:space="preserve">3.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5"/>
        <w:t xml:space="preserve">4</w:t>
      </w:r>
      <w:r/>
    </w:p>
    <w:tbl>
      <w:tblPr>
        <w:tblW w:w="9359" w:type="dxa"/>
        <w:tblInd w:w="-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3"/>
        <w:gridCol w:w="2976"/>
      </w:tblGrid>
      <w:tr>
        <w:tblPrEx/>
        <w:trPr>
          <w:trHeight w:val="79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customMarkFollows="1" w:id="6"/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customMarkFollows="1" w:id="7"/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5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8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3.6.8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19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долгосрочный кредитный рейтинг по национальной шкале, присвоенный аккредитованными Банком России </w:t>
      </w:r>
      <w:r>
        <w:rPr>
          <w:rFonts w:eastAsia="Arial Unicode MS" w:cs="Arial Unicode MS"/>
          <w:color w:val="000000"/>
        </w:rPr>
        <w:t xml:space="preserve">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8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9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0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2409"/>
        <w:gridCol w:w="2268"/>
        <w:gridCol w:w="2295"/>
      </w:tblGrid>
      <w:tr>
        <w:tblPrEx/>
        <w:trPr>
          <w:jc w:val="center"/>
          <w:trHeight w:val="3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ind w:left="567"/>
        <w:spacing w:after="0"/>
      </w:pPr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обеспечение заявки может быть оформлено в виде отдельной независимой гарантии по каждому лоту, либо в виде одной независимой гарантии на общую сумму гарантии по всем лотам, на которые участник подает заявки.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Вместе с гарантией участник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(оригинал/нотариально заверенная копия/копия, заверенная </w:t>
      </w:r>
      <w:r>
        <w:rPr>
          <w:bCs/>
        </w:rPr>
        <w:t xml:space="preserve">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гаранта о назначении (избрании) единоличного исп</w:t>
      </w:r>
      <w:r>
        <w:rPr>
          <w:bCs/>
        </w:rPr>
        <w:t xml:space="preserve">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</w:t>
      </w:r>
      <w:r>
        <w:rPr>
          <w:bCs/>
        </w:rPr>
        <w:t xml:space="preserve">веренная гарантом).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Форма независимой гарантии, иные требования, связанные с независимой гарантией, установлены в части </w:t>
      </w:r>
      <w:hyperlink w:tooltip="#_VII._ТИПОВ" w:anchor="_VII._ТИПОВ" w:history="1">
        <w:r>
          <w:rPr>
            <w:rStyle w:val="1360"/>
          </w:rPr>
          <w:t xml:space="preserve">VII «ТИПОВЫЕ ФОРМЫ НЕЗАВИСИМЫХ ГАРАНТИЙ»</w:t>
        </w:r>
      </w:hyperlink>
      <w:r>
        <w:t xml:space="preserve">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Независимая гарантия, может быть выдана в пис</w:t>
      </w:r>
      <w:r>
        <w:t xml:space="preserve">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Несоответствие независимой гарантии, предоставленной участником закупки </w:t>
      </w:r>
      <w:r>
        <w:br/>
        <w:t xml:space="preserve">с требованиями, предусмотренными пунктом </w:t>
      </w:r>
      <w:hyperlink w:tooltip="#_3.6._Требо" w:anchor="_3.6._Требо" w:history="1">
        <w:r>
          <w:rPr>
            <w:rStyle w:val="1360"/>
          </w:rPr>
          <w:t xml:space="preserve">3.6</w:t>
        </w:r>
      </w:hyperlink>
      <w:r>
        <w:t xml:space="preserve"> Документации, является основанием для отказа в допуске к участию в закупке.</w:t>
      </w:r>
      <w:r/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гарантией.</w:t>
      </w:r>
      <w:r>
        <w:rPr>
          <w:rFonts w:ascii="Times New Roman" w:hAnsi="Times New Roman" w:cs="Times New Roman"/>
          <w:b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Порядок_действий,_осуществляемых"/>
      <w:r/>
      <w:bookmarkStart w:id="76" w:name="_Toc24"/>
      <w:r/>
      <w:bookmarkEnd w:id="75"/>
      <w:r>
        <w:rPr>
          <w:sz w:val="24"/>
          <w:szCs w:val="24"/>
        </w:rPr>
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</w:r>
      <w:bookmarkEnd w:id="76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Под аномально низкой ценой понимается снижение цены участником закупки относительно начальной (максимальной) цены договора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 (цены лота) или условной (максимальной) цены договора (в случае  заключения договора по результатам закупки фиксирующего номенклатуру продукции и единичные расценки на нее, и приобретение заказчиком товаров (работ, услуг) по фактической потребности из чис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ла установленной договором номенклатуры и по цене согласно установленным единичным расценкам), указанной в извещении о закупки и документации о закупке на 25 (двадцать пять) и более процентов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7" w:name="_3.7.2._В_с"/>
      <w:r/>
      <w:bookmarkStart w:id="78" w:name="_В_случае_если"/>
      <w:r/>
      <w:bookmarkEnd w:id="77"/>
      <w:r/>
      <w:bookmarkEnd w:id="78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</w:t>
      </w:r>
      <w:r>
        <w:rPr>
          <w:rFonts w:ascii="Times New Roman" w:hAnsi="Times New Roman" w:cs="Times New Roman"/>
          <w:b w:val="0"/>
        </w:rPr>
        <w:t xml:space="preserve">нным участником, признанным соответствующим требованиям извещения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tbl>
      <w:tblPr>
        <w:tblW w:w="946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826"/>
        <w:gridCol w:w="1700"/>
        <w:gridCol w:w="1702"/>
        <w:gridCol w:w="379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Матрица договорны</w:t>
            </w:r>
            <w:r>
              <w:rPr>
                <w:sz w:val="22"/>
                <w:szCs w:val="22"/>
              </w:rPr>
              <w:t xml:space="preserve">х условий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размера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по обеспечению исполнения договора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Авансирование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 возврат авансового платежа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5% (пять) от начальной (максимальной) цены договора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</w:t>
            </w:r>
            <w:r>
              <w:rPr>
                <w:sz w:val="22"/>
                <w:szCs w:val="22"/>
              </w:rPr>
              <w:t xml:space="preserve">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</w:t>
            </w:r>
            <w:r>
              <w:rPr>
                <w:sz w:val="22"/>
                <w:szCs w:val="22"/>
              </w:rPr>
              <w:t xml:space="preserve">начально установленного обеспечение исполнения договора в 1,5 (полтора) раза, но не менее 5% (пяти) от начальной (максимальной) цены договора, и обеспечение возврата авансовых платежей в размере, установленном в документации о закупке (извещении о закупке)</w:t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 или в форме независимой гарантии. Выбор способа обеспечения исполнения обязательств по договору</w:t>
      </w:r>
      <w:r>
        <w:rPr>
          <w:rFonts w:ascii="Times New Roman" w:hAnsi="Times New Roman" w:cs="Times New Roman"/>
          <w:b w:val="0"/>
          <w:bCs w:val="0"/>
        </w:rPr>
        <w:t xml:space="preserve">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участником закупки решения о предоставлении обеспечения исполнения обязательств </w:t>
      </w:r>
      <w:r>
        <w:rPr>
          <w:rFonts w:ascii="Times New Roman" w:hAnsi="Times New Roman" w:cs="Times New Roman"/>
          <w:b w:val="0"/>
          <w:bCs w:val="0"/>
        </w:rPr>
        <w:t xml:space="preserve">по договору, предусмотренного в пункте </w:t>
      </w:r>
      <w:hyperlink w:tooltip="#_3.7.2._В_с" w:anchor="_3.7.2._В_с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3.7.2 </w:t>
        </w:r>
      </w:hyperlink>
      <w:r>
        <w:rPr>
          <w:rFonts w:ascii="Times New Roman" w:hAnsi="Times New Roman" w:cs="Times New Roman"/>
          <w:b w:val="0"/>
          <w:bCs w:val="0"/>
        </w:rPr>
        <w:t xml:space="preserve">документации о закупке в форме денежных средств, такие средства перечисляются на расчетный счет Заказчика, указанный в соответствующем разделе Проекта договора. В</w:t>
      </w:r>
      <w:r>
        <w:rPr>
          <w:rFonts w:ascii="Times New Roman" w:hAnsi="Times New Roman" w:cs="Times New Roman"/>
          <w:b w:val="0"/>
          <w:bCs w:val="0"/>
        </w:rPr>
        <w:t xml:space="preserve">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проекте договора. В с</w:t>
      </w:r>
      <w:r>
        <w:rPr>
          <w:rFonts w:ascii="Times New Roman" w:hAnsi="Times New Roman" w:cs="Times New Roman"/>
          <w:b w:val="0"/>
          <w:bCs w:val="0"/>
        </w:rPr>
        <w:t xml:space="preserve">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решения о предоставлении обеспечения исполнения обязательств по дого</w:t>
      </w:r>
      <w:r>
        <w:rPr>
          <w:rFonts w:ascii="Times New Roman" w:hAnsi="Times New Roman" w:cs="Times New Roman"/>
          <w:b w:val="0"/>
          <w:bCs w:val="0"/>
        </w:rPr>
        <w:t xml:space="preserve">вору, предусмотренного в пункте </w:t>
      </w:r>
      <w:hyperlink w:tooltip="#_В_случае_если" w:anchor="_В_случае_если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3.7.2</w:t>
        </w:r>
      </w:hyperlink>
      <w:r>
        <w:rPr>
          <w:rFonts w:ascii="Times New Roman" w:hAnsi="Times New Roman" w:cs="Times New Roman"/>
          <w:b w:val="0"/>
          <w:bCs w:val="0"/>
        </w:rPr>
        <w:t xml:space="preserve"> документации о закупке в форме независимой гарантии, такая гарантия, а также банк-гарант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6.3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проект договора не содержит раздела по предоставлению обеспечения исполнения договора и победителем закупки (единственным участником закупки) подано аномальн</w:t>
      </w:r>
      <w:r>
        <w:rPr>
          <w:rFonts w:ascii="Times New Roman" w:hAnsi="Times New Roman" w:cs="Times New Roman"/>
          <w:b w:val="0"/>
          <w:bCs w:val="0"/>
        </w:rPr>
        <w:t xml:space="preserve">о низкое ценовое предложение, договор дополняется соответствующим разделом.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14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9" w:name="_Toc25"/>
      <w:r>
        <w:rPr>
          <w:sz w:val="24"/>
          <w:szCs w:val="24"/>
        </w:rPr>
        <w:t xml:space="preserve">ПОДАЧА ЗАЯВОК НА УЧАСТИЕ В ЗАКУПКЕ</w:t>
      </w:r>
      <w:bookmarkEnd w:id="79"/>
      <w:r/>
      <w:r>
        <w:rPr>
          <w:sz w:val="24"/>
          <w:szCs w:val="24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0" w:name="_Ref166249895"/>
      <w:r/>
      <w:bookmarkStart w:id="81" w:name="_Toc26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80"/>
      <w:r>
        <w:rPr>
          <w:sz w:val="24"/>
          <w:szCs w:val="24"/>
        </w:rPr>
        <w:t xml:space="preserve">закупке</w:t>
      </w:r>
      <w:bookmarkEnd w:id="81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пункте </w:t>
      </w:r>
      <w:hyperlink w:tooltip="#_Дата_рассмотрения_предложений" w:anchor="_Дата_рассмотрения_предложений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Ref119429670"/>
      <w:r/>
      <w:bookmarkStart w:id="83" w:name="_Toc27"/>
      <w:r>
        <w:rPr>
          <w:sz w:val="24"/>
          <w:szCs w:val="24"/>
        </w:rPr>
        <w:t xml:space="preserve">Изменения и отзыв заявок на участие в </w:t>
      </w:r>
      <w:bookmarkEnd w:id="82"/>
      <w:r>
        <w:rPr>
          <w:sz w:val="24"/>
          <w:szCs w:val="24"/>
        </w:rPr>
        <w:t xml:space="preserve">закупке</w:t>
      </w:r>
      <w:bookmarkEnd w:id="83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</w:t>
      </w:r>
      <w:r>
        <w:rPr>
          <w:rFonts w:ascii="Times New Roman" w:hAnsi="Times New Roman" w:cs="Times New Roman"/>
          <w:b w:val="0"/>
          <w:bCs w:val="0"/>
        </w:rPr>
        <w:t xml:space="preserve">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114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84" w:name="_Toc28"/>
      <w:r/>
      <w:bookmarkStart w:id="85" w:name="_Ref119430360"/>
      <w:r>
        <w:rPr>
          <w:sz w:val="24"/>
          <w:szCs w:val="24"/>
        </w:rPr>
        <w:t xml:space="preserve">ПОРЯДОК ПРОВЕДЕНИЯ ЗАКУПКИ</w:t>
      </w:r>
      <w:bookmarkEnd w:id="84"/>
      <w:r/>
      <w:r>
        <w:rPr>
          <w:sz w:val="24"/>
          <w:szCs w:val="24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29"/>
      <w:r/>
      <w:bookmarkStart w:id="87" w:name="_Ref125827199"/>
      <w:r/>
      <w:bookmarkEnd w:id="85"/>
      <w:r>
        <w:rPr>
          <w:sz w:val="24"/>
          <w:szCs w:val="24"/>
        </w:rPr>
        <w:t xml:space="preserve">Закупочная комиссия</w:t>
      </w:r>
      <w:bookmarkEnd w:id="86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</w:t>
      </w:r>
      <w:r>
        <w:rPr>
          <w:rFonts w:ascii="Times New Roman" w:hAnsi="Times New Roman" w:cs="Times New Roman"/>
          <w:b w:val="0"/>
          <w:bCs w:val="0"/>
        </w:rPr>
        <w:t xml:space="preserve">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8" w:name="_Toc30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8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</w:t>
      </w:r>
      <w:r>
        <w:rPr>
          <w:rFonts w:ascii="Times New Roman" w:hAnsi="Times New Roman" w:cs="Times New Roman"/>
          <w:b w:val="0"/>
          <w:bCs w:val="0"/>
        </w:rPr>
        <w:t xml:space="preserve">оответствии с требованиями, критериями и порядком оценки заявок, устанавливаемыми в документации о закупке, на </w:t>
      </w:r>
      <w:r>
        <w:rPr>
          <w:rFonts w:ascii="Times New Roman" w:hAnsi="Times New Roman" w:cs="Times New Roman"/>
          <w:b w:val="0"/>
          <w:bCs w:val="0"/>
        </w:rPr>
        <w:t xml:space="preserve">основании представленных в составе заявок сведений и документов, а также иных источников информации, предусмотренных документацией о закупке, зак</w:t>
      </w:r>
      <w:r>
        <w:rPr>
          <w:rFonts w:ascii="Times New Roman" w:hAnsi="Times New Roman" w:cs="Times New Roman"/>
          <w:b w:val="0"/>
          <w:bCs w:val="0"/>
        </w:rPr>
        <w:t xml:space="preserve">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 вправе направить участнику закупки запрос на разъяснение положений заявки участника, </w:t>
      </w:r>
      <w:r>
        <w:rPr>
          <w:rFonts w:ascii="Times New Roman" w:hAnsi="Times New Roman" w:cs="Times New Roman"/>
          <w:b w:val="0"/>
          <w:bCs w:val="0"/>
        </w:rPr>
        <w:t xml:space="preserve">с указанием срока его выполнения. При этом, не допускаются запросы или требования о представлении участником недостающих документов. Не принимаются к рассмотрению документы и сведения, направленные участником в ходе исполнения запроса, которые изменяют сущ</w:t>
      </w:r>
      <w:r>
        <w:rPr>
          <w:rFonts w:ascii="Times New Roman" w:hAnsi="Times New Roman" w:cs="Times New Roman"/>
          <w:b w:val="0"/>
          <w:bCs w:val="0"/>
        </w:rPr>
        <w:t xml:space="preserve">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53"/>
        <w:numPr>
          <w:ilvl w:val="0"/>
          <w:numId w:val="10"/>
        </w:numPr>
        <w:ind w:left="0" w:firstLine="567"/>
        <w:jc w:val="both"/>
      </w:pPr>
      <w:r>
        <w:t xml:space="preserve">в случае отсутствия в состав</w:t>
      </w:r>
      <w:r>
        <w:t xml:space="preserve">е заявки документов и сведений, предусмотренных для предоставления в заявки, указанных в пункте </w:t>
      </w:r>
      <w:hyperlink w:tooltip="#_Сведения_и_документы," w:anchor="_Сведения_и" w:history="1">
        <w:r>
          <w:rPr>
            <w:rStyle w:val="1360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453"/>
        <w:numPr>
          <w:ilvl w:val="0"/>
          <w:numId w:val="10"/>
        </w:numPr>
        <w:ind w:left="0" w:firstLine="567"/>
        <w:jc w:val="both"/>
        <w:rPr>
          <w:rStyle w:val="1360"/>
          <w:color w:val="auto"/>
          <w:u w:val="none"/>
        </w:rPr>
      </w:pPr>
      <w:r>
        <w:t xml:space="preserve">несоответствие участника закупки, в том числе несоответс</w:t>
      </w:r>
      <w:r>
        <w:t xml:space="preserve">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360"/>
          </w:rPr>
          <w:t xml:space="preserve">1.4 части I «ОБЩИЕ УСЛОВИЯ ПРОВЕДЕНИЯ ЗАКУПКИ»</w:t>
        </w:r>
      </w:hyperlink>
      <w:r>
        <w:rPr>
          <w:rStyle w:val="1360"/>
          <w:color w:val="000000" w:themeColor="text1"/>
          <w:u w:val="none"/>
        </w:rPr>
        <w:t xml:space="preserve">;</w:t>
      </w:r>
      <w:r>
        <w:rPr>
          <w:rStyle w:val="1360"/>
          <w:color w:val="auto"/>
          <w:u w:val="none"/>
        </w:rPr>
      </w:r>
    </w:p>
    <w:p>
      <w:pPr>
        <w:pStyle w:val="1453"/>
        <w:numPr>
          <w:ilvl w:val="0"/>
          <w:numId w:val="10"/>
        </w:numPr>
        <w:ind w:left="0" w:firstLine="567"/>
        <w:jc w:val="both"/>
      </w:pPr>
      <w:r>
        <w:t xml:space="preserve">несоответствие предлагаемой </w:t>
      </w:r>
      <w:r>
        <w:t xml:space="preserve">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360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360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360"/>
          </w:rPr>
          <w:t xml:space="preserve">5 части II «ИНФОРМАЦИОННАЯ КАРТА ЗАКУПКИ»</w:t>
        </w:r>
      </w:hyperlink>
      <w:r>
        <w:rPr>
          <w:rStyle w:val="1360"/>
          <w:color w:val="000000" w:themeColor="text1"/>
          <w:u w:val="none"/>
        </w:rPr>
        <w:t xml:space="preserve">;</w:t>
      </w:r>
      <w:r/>
    </w:p>
    <w:p>
      <w:pPr>
        <w:pStyle w:val="1453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453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</w:t>
      </w:r>
      <w:r>
        <w:rPr>
          <w:bCs/>
        </w:rPr>
        <w:t xml:space="preserve">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360"/>
          </w:rPr>
          <w:t xml:space="preserve">11 части II «ИНФОРМАЦИОННАЯ КА</w:t>
        </w:r>
        <w:r>
          <w:rPr>
            <w:rStyle w:val="1360"/>
          </w:rPr>
          <w:t xml:space="preserve">РТА ЗАКУПКИ»</w:t>
        </w:r>
      </w:hyperlink>
      <w:r>
        <w:rPr>
          <w:rStyle w:val="1360"/>
          <w:color w:val="000000" w:themeColor="text1"/>
          <w:u w:val="none"/>
        </w:rPr>
        <w:t xml:space="preserve">);</w:t>
      </w:r>
      <w:r/>
    </w:p>
    <w:p>
      <w:pPr>
        <w:pStyle w:val="1453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t xml:space="preserve">цена заявки участника превышает установленную в пункте </w:t>
      </w:r>
      <w:hyperlink w:tooltip="#_Сведения_о_начальной" w:anchor="_Сведения_о" w:history="1">
        <w:r>
          <w:rPr>
            <w:rStyle w:val="1360"/>
          </w:rPr>
          <w:t xml:space="preserve">7 части II «ИНФОРМАЦИОННАЯ КАРТА ЗАКУПКИ»</w:t>
        </w:r>
      </w:hyperlink>
      <w:r>
        <w:t xml:space="preserve"> начальную (максимальную) цену договора (цену лота), в случае непредставления документ</w:t>
      </w:r>
      <w:r>
        <w:t xml:space="preserve">ов и сведений, предусмотренных для предоставления в составе ценового предложения, указанных в </w:t>
      </w:r>
      <w:hyperlink w:tooltip="#_Сведения_и_документы," w:anchor="_Сведения_и_документы," w:history="1">
        <w:r>
          <w:t xml:space="preserve">пункте </w:t>
        </w:r>
        <w:r>
          <w:rPr>
            <w:rStyle w:val="1360"/>
          </w:rPr>
          <w:t xml:space="preserve">17 части II «ИНФОРМАЦИОННАЯ КАРТА ЗАКУПКИ»</w:t>
        </w:r>
      </w:hyperlink>
      <w:r>
        <w:rPr>
          <w:color w:val="0000ff"/>
        </w:rPr>
        <w:t xml:space="preserve">.</w:t>
      </w:r>
      <w:r/>
    </w:p>
    <w:p>
      <w:pPr>
        <w:pStyle w:val="1453"/>
        <w:numPr>
          <w:ilvl w:val="0"/>
          <w:numId w:val="10"/>
        </w:numPr>
        <w:ind w:left="0" w:firstLine="567"/>
        <w:jc w:val="both"/>
      </w:pPr>
      <w:r>
        <w:t xml:space="preserve">наличие в составе заявки недостоверных с</w:t>
      </w:r>
      <w:r>
        <w:t xml:space="preserve">ведений.</w:t>
      </w:r>
      <w:r/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</w:t>
      </w:r>
      <w:r>
        <w:rPr>
          <w:rFonts w:ascii="Times New Roman" w:hAnsi="Times New Roman" w:cs="Times New Roman"/>
          <w:b w:val="0"/>
          <w:bCs w:val="0"/>
        </w:rPr>
        <w:t xml:space="preserve">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</w:t>
      </w:r>
      <w:r>
        <w:rPr>
          <w:rFonts w:ascii="Times New Roman" w:hAnsi="Times New Roman" w:cs="Times New Roman"/>
          <w:b w:val="0"/>
          <w:bCs w:val="0"/>
        </w:rPr>
        <w:t xml:space="preserve">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</w:t>
      </w:r>
      <w:r>
        <w:rPr>
          <w:rFonts w:ascii="Times New Roman" w:hAnsi="Times New Roman" w:cs="Times New Roman"/>
          <w:b w:val="0"/>
          <w:bCs w:val="0"/>
        </w:rPr>
        <w:t xml:space="preserve">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3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</w:p>
    <w:p>
      <w:pPr>
        <w:pStyle w:val="1143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</w:t>
      </w:r>
      <w:r>
        <w:rPr>
          <w:rFonts w:ascii="Times New Roman" w:hAnsi="Times New Roman" w:cs="Times New Roman"/>
        </w:rPr>
        <w:t xml:space="preserve">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</w:t>
      </w:r>
      <w:r>
        <w:rPr>
          <w:rFonts w:ascii="Times New Roman" w:hAnsi="Times New Roman" w:cs="Times New Roman"/>
          <w:b w:val="0"/>
          <w:bCs w:val="0"/>
        </w:rPr>
        <w:t xml:space="preserve">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</w:t>
      </w:r>
      <w:r>
        <w:rPr>
          <w:rFonts w:ascii="Times New Roman" w:hAnsi="Times New Roman" w:cs="Times New Roman"/>
          <w:b w:val="0"/>
          <w:bCs w:val="0"/>
        </w:rPr>
        <w:t xml:space="preserve">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9" w:name="_Toc31"/>
      <w:r>
        <w:rPr>
          <w:sz w:val="24"/>
          <w:szCs w:val="24"/>
        </w:rPr>
        <w:t xml:space="preserve">Критерии оценки заявок участников закупки</w:t>
      </w:r>
      <w:bookmarkEnd w:id="89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Прил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</w:t>
      </w:r>
      <w:r>
        <w:rPr>
          <w:rFonts w:ascii="Times New Roman" w:hAnsi="Times New Roman" w:cs="Times New Roman"/>
          <w:b w:val="0"/>
          <w:bCs w:val="0"/>
        </w:rPr>
        <w:t xml:space="preserve">х проведения этапов закупки, установленных в пункте </w:t>
      </w:r>
      <w:hyperlink w:tooltip="#_Дата_рассмотрения_предложений" w:anchor="_Дата_рассмотрения_предложений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с учетом сведений и документов, содержащихся в заявках участников закупок, </w:t>
      </w:r>
      <w:r>
        <w:rPr>
          <w:rFonts w:ascii="Times New Roman" w:hAnsi="Times New Roman" w:cs="Times New Roman"/>
          <w:b w:val="0"/>
          <w:bCs w:val="0"/>
        </w:rPr>
        <w:t xml:space="preserve">направляемых Заказчику оператором 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</w:t>
      </w:r>
      <w:r>
        <w:rPr>
          <w:rFonts w:ascii="Times New Roman" w:hAnsi="Times New Roman" w:cs="Times New Roman"/>
          <w:b w:val="0"/>
          <w:bCs w:val="0"/>
        </w:rPr>
        <w:t xml:space="preserve">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</w:t>
      </w:r>
      <w:r>
        <w:rPr>
          <w:rFonts w:ascii="Times New Roman" w:hAnsi="Times New Roman" w:cs="Times New Roman"/>
          <w:b w:val="0"/>
          <w:bCs w:val="0"/>
        </w:rPr>
        <w:t xml:space="preserve">отокол.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</w:t>
      </w:r>
      <w:r>
        <w:rPr>
          <w:rFonts w:ascii="Times New Roman" w:hAnsi="Times New Roman" w:cs="Times New Roman"/>
          <w:b w:val="0"/>
          <w:bCs w:val="0"/>
        </w:rPr>
        <w:t xml:space="preserve">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</w:t>
      </w:r>
      <w:r>
        <w:rPr>
          <w:rFonts w:ascii="Times New Roman" w:hAnsi="Times New Roman" w:cs="Times New Roman"/>
          <w:b w:val="0"/>
        </w:rPr>
        <w:t xml:space="preserve">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0" w:name="_Toc32"/>
      <w:r>
        <w:rPr>
          <w:sz w:val="24"/>
          <w:szCs w:val="24"/>
        </w:rPr>
        <w:t xml:space="preserve">Особенности осуществления рассмотрения общих частей заявок.</w:t>
      </w:r>
      <w:bookmarkEnd w:id="90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общие части заявок участников на предмет их соответствия требованиям, установленны</w:t>
      </w:r>
      <w:r>
        <w:rPr>
          <w:rFonts w:ascii="Times New Roman" w:hAnsi="Times New Roman" w:cs="Times New Roman"/>
          <w:b w:val="0"/>
          <w:bCs w:val="0"/>
        </w:rPr>
        <w:t xml:space="preserve">м документацией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отклоняет заявку участника на этапе рассмотрения общих частей заявок по следующим основаниям:</w:t>
      </w:r>
      <w:r>
        <w:rPr>
          <w:rFonts w:ascii="Times New Roman" w:hAnsi="Times New Roman" w:cs="Times New Roman"/>
          <w:b w:val="0"/>
        </w:rPr>
      </w:r>
    </w:p>
    <w:p>
      <w:pPr>
        <w:pStyle w:val="1453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в случае отсутствия в составе общей части заявки документов и сведений, предусмотренных для предоставления в общей части заявки, указанных в пункте </w:t>
      </w:r>
      <w:hyperlink w:tooltip="#_Сведения_и_документы," w:anchor="_Сведения_и" w:history="1">
        <w:r>
          <w:rPr>
            <w:rStyle w:val="1360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453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</w:t>
      </w:r>
      <w:r>
        <w:t xml:space="preserve">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360"/>
          </w:rPr>
          <w:t xml:space="preserve">1.4 части I «ОБЩИЕ УСЛОВИЯ ПРОВЕДЕНИ</w:t>
        </w:r>
        <w:r>
          <w:rPr>
            <w:rStyle w:val="1360"/>
          </w:rPr>
          <w:t xml:space="preserve">Я ЗАКУПКИ»</w:t>
        </w:r>
      </w:hyperlink>
      <w:r>
        <w:t xml:space="preserve">;</w:t>
      </w:r>
      <w:r/>
    </w:p>
    <w:p>
      <w:pPr>
        <w:pStyle w:val="1453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частях IV – V документации о закупке </w:t>
      </w:r>
      <w:r>
        <w:t xml:space="preserve">и пункта </w:t>
      </w:r>
      <w:hyperlink w:tooltip="#_Предмет_договора_с" w:anchor="_Предмет_договора_с" w:history="1">
        <w:r>
          <w:rPr>
            <w:rStyle w:val="1360"/>
          </w:rPr>
          <w:t xml:space="preserve">3 части II «ИН</w:t>
        </w:r>
        <w:r>
          <w:rPr>
            <w:rStyle w:val="1360"/>
          </w:rPr>
          <w:t xml:space="preserve">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360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360"/>
          </w:rPr>
          <w:t xml:space="preserve">5 части II «ИНФОРМАЦИОННАЯ КАРТА ЗАКУП</w:t>
        </w:r>
        <w:r>
          <w:rPr>
            <w:rStyle w:val="1360"/>
          </w:rPr>
          <w:t xml:space="preserve">КИ»</w:t>
        </w:r>
      </w:hyperlink>
      <w:r>
        <w:t xml:space="preserve">;</w:t>
      </w:r>
      <w:r/>
    </w:p>
    <w:p>
      <w:pPr>
        <w:pStyle w:val="1453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360"/>
          </w:rPr>
          <w:t xml:space="preserve">11 части II «ИНФОРМАЦИОННАЯ КАРТА ЗАКУПКИ»</w:t>
        </w:r>
      </w:hyperlink>
      <w:r>
        <w:rPr>
          <w:rStyle w:val="1360"/>
          <w:color w:val="000000" w:themeColor="text1"/>
          <w:u w:val="none"/>
        </w:rPr>
        <w:t xml:space="preserve">);</w:t>
      </w:r>
      <w:r/>
    </w:p>
    <w:p>
      <w:pPr>
        <w:pStyle w:val="1453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</w:t>
      </w:r>
      <w:r>
        <w:rPr>
          <w:bCs/>
        </w:rPr>
        <w:t xml:space="preserve">тветствия по сроку действия оферты;</w:t>
      </w:r>
      <w:r/>
    </w:p>
    <w:p>
      <w:pPr>
        <w:pStyle w:val="1453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наличие в составе заявки недостоверных сведений.</w:t>
      </w:r>
      <w:r/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33"/>
      <w:r>
        <w:rPr>
          <w:sz w:val="24"/>
          <w:szCs w:val="24"/>
        </w:rPr>
        <w:t xml:space="preserve">Особенности осуществления рассмотрения и сопоставления ценовых предложений участников закупки</w:t>
      </w:r>
      <w:bookmarkEnd w:id="91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</w:t>
      </w:r>
      <w:r>
        <w:rPr>
          <w:rFonts w:ascii="Times New Roman" w:hAnsi="Times New Roman" w:cs="Times New Roman"/>
          <w:b w:val="0"/>
          <w:bCs w:val="0"/>
        </w:rPr>
        <w:t xml:space="preserve">ляется Закупочной комиссией после направления оператором 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</w:t>
      </w:r>
      <w:r>
        <w:rPr>
          <w:rFonts w:ascii="Times New Roman" w:hAnsi="Times New Roman" w:cs="Times New Roman"/>
          <w:b w:val="0"/>
          <w:bCs w:val="0"/>
        </w:rPr>
        <w:t xml:space="preserve">дого участника закупки.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</w:t>
      </w:r>
      <w:hyperlink w:tooltip="#_Приложение_№_1" w:anchor="_Приложение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в том числе в части не превышения ценового предложения участника начальной (максимальной) цены договора/цены лота, не превышения единицы продукции (если такое требование установлено в документации о закупке).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</w:t>
      </w:r>
      <w:r>
        <w:rPr>
          <w:rFonts w:ascii="Times New Roman" w:hAnsi="Times New Roman" w:cs="Times New Roman"/>
          <w:b w:val="0"/>
          <w:bCs w:val="0"/>
        </w:rPr>
        <w:t xml:space="preserve"> на этапе рассмотрения ценовых предложений участников в случае, если </w:t>
      </w:r>
      <w:r>
        <w:rPr>
          <w:rFonts w:ascii="Times New Roman" w:hAnsi="Times New Roman"/>
          <w:b w:val="0"/>
        </w:rPr>
        <w:t xml:space="preserve">цена заявки участника превышает установленную </w:t>
      </w:r>
      <w:r>
        <w:rPr>
          <w:rFonts w:ascii="Times New Roman" w:hAnsi="Times New Roman" w:cs="Times New Roman"/>
          <w:b w:val="0"/>
          <w:bCs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начальную (максима</w:t>
      </w:r>
      <w:r>
        <w:rPr>
          <w:rFonts w:ascii="Times New Roman" w:hAnsi="Times New Roman" w:cs="Times New Roman"/>
          <w:b w:val="0"/>
          <w:bCs w:val="0"/>
        </w:rPr>
        <w:t xml:space="preserve">льную) цену договора (цену лота), непредставления документов и сведений, в случае если предоставление таких документов и сведений предусмотрено для предоставления в составе ценового предложения и указано 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</w:rPr>
        <w:t xml:space="preserve">В случае несоответствия цены заявки, указанной на ЭТП и цены заявки отраженной в документах, определяющих коммерческое </w:t>
      </w:r>
      <w:r>
        <w:rPr>
          <w:rFonts w:ascii="Times New Roman" w:hAnsi="Times New Roman" w:cs="Times New Roman"/>
          <w:b w:val="0"/>
        </w:rPr>
        <w:t xml:space="preserve">предложение, к учету принимается цена, указанная на ЭТП.</w:t>
      </w:r>
      <w:r>
        <w:rPr>
          <w:rFonts w:ascii="Times New Roman" w:hAnsi="Times New Roman" w:cs="Times New Roman"/>
          <w:b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2" w:name="_Toc34"/>
      <w:r>
        <w:rPr>
          <w:sz w:val="24"/>
          <w:szCs w:val="24"/>
        </w:rPr>
        <w:t xml:space="preserve">Переторж</w:t>
      </w:r>
      <w:r>
        <w:rPr>
          <w:sz w:val="24"/>
          <w:szCs w:val="24"/>
        </w:rPr>
        <w:t xml:space="preserve">ка</w:t>
      </w:r>
      <w:bookmarkEnd w:id="92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</w:t>
      </w:r>
      <w:r>
        <w:rPr>
          <w:rFonts w:ascii="Times New Roman" w:hAnsi="Times New Roman" w:cs="Times New Roman"/>
          <w:b w:val="0"/>
        </w:rPr>
        <w:t xml:space="preserve">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</w:t>
      </w:r>
      <w:r>
        <w:rPr>
          <w:rFonts w:ascii="Times New Roman" w:hAnsi="Times New Roman" w:cs="Times New Roman"/>
          <w:b w:val="0"/>
        </w:rPr>
        <w:t xml:space="preserve">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</w:t>
      </w:r>
      <w:r>
        <w:rPr>
          <w:rFonts w:ascii="Times New Roman" w:hAnsi="Times New Roman" w:cs="Times New Roman"/>
          <w:b w:val="0"/>
        </w:rPr>
        <w:t xml:space="preserve">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</w:t>
      </w:r>
      <w:r>
        <w:rPr>
          <w:rFonts w:ascii="Times New Roman" w:hAnsi="Times New Roman" w:cs="Times New Roman"/>
          <w:b w:val="0"/>
        </w:rPr>
        <w:t xml:space="preserve">ие (в случае если предоставление документов, определяющих их коммерческое предложение, предусмотрен</w:t>
      </w:r>
      <w:r>
        <w:rPr>
          <w:rFonts w:ascii="Times New Roman" w:hAnsi="Times New Roman" w:cs="Times New Roman"/>
          <w:b w:val="0"/>
          <w:bCs w:val="0"/>
        </w:rPr>
        <w:t xml:space="preserve">о в  пункте </w:t>
      </w:r>
      <w:hyperlink w:tooltip="#_Сведения_и_документы," w:anchor="_Сведения_и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Изменение цены в сторону снижения не дол</w:t>
      </w:r>
      <w:r>
        <w:rPr>
          <w:rFonts w:ascii="Times New Roman" w:hAnsi="Times New Roman" w:cs="Times New Roman"/>
          <w:b w:val="0"/>
        </w:rPr>
        <w:t xml:space="preserve">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  <w:bCs w:val="0"/>
          </w:rPr>
          <w:t xml:space="preserve">в пункте 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Время проведения первой процедуры переторжки (время ожидания ценовых предложений) указывается Заказчиком в  пункте </w:t>
      </w:r>
      <w:hyperlink w:tooltip="#_Порядок,_д" w:anchor="_Порядок,_д" w:history="1">
        <w:r>
          <w:rPr>
            <w:rStyle w:val="1360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Дата </w:t>
      </w:r>
      <w:r>
        <w:rPr>
          <w:rFonts w:ascii="Times New Roman" w:hAnsi="Times New Roman" w:cs="Times New Roman"/>
          <w:b w:val="0"/>
          <w:bCs w:val="0"/>
        </w:rPr>
        <w:t xml:space="preserve">и время проведения процедур переторжки (повторных переторжек) указывается на сайте электронной площадки, информация о чем доводится до сведения участников закупки средствами ЭТП.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</w:t>
      </w:r>
      <w:r>
        <w:rPr>
          <w:rFonts w:ascii="Times New Roman" w:hAnsi="Times New Roman" w:cs="Times New Roman"/>
          <w:b w:val="0"/>
          <w:bCs w:val="0"/>
        </w:rPr>
        <w:t xml:space="preserve">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3" w:name="_Toc35"/>
      <w:r>
        <w:rPr>
          <w:sz w:val="24"/>
          <w:szCs w:val="24"/>
        </w:rPr>
        <w:t xml:space="preserve">Подведение итогов</w:t>
      </w:r>
      <w:bookmarkEnd w:id="93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</w:t>
      </w:r>
      <w:r>
        <w:rPr>
          <w:rFonts w:ascii="Times New Roman" w:hAnsi="Times New Roman" w:cs="Times New Roman"/>
          <w:b w:val="0"/>
        </w:rPr>
        <w:t xml:space="preserve">комиссией в сроки, установленные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</w:rPr>
          <w:t xml:space="preserve">в  пункте </w:t>
        </w:r>
        <w:r>
          <w:rPr>
            <w:rStyle w:val="1360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заявок участников, допущенных до у</w:t>
      </w:r>
      <w:r>
        <w:rPr>
          <w:rFonts w:ascii="Times New Roman" w:hAnsi="Times New Roman" w:cs="Times New Roman"/>
          <w:b w:val="0"/>
        </w:rPr>
        <w:t xml:space="preserve">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Заказчиком, применяют</w:t>
      </w:r>
      <w:r>
        <w:rPr>
          <w:rFonts w:ascii="Times New Roman" w:hAnsi="Times New Roman" w:cs="Times New Roman"/>
          <w:b w:val="0"/>
          <w:bCs w:val="0"/>
        </w:rPr>
        <w:t xml:space="preserve">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</w:t>
      </w:r>
      <w:r>
        <w:rPr>
          <w:rFonts w:ascii="Times New Roman" w:hAnsi="Times New Roman" w:cs="Times New Roman"/>
          <w:b w:val="0"/>
          <w:bCs w:val="0"/>
        </w:rPr>
        <w:t xml:space="preserve">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</w:t>
      </w:r>
      <w:r>
        <w:rPr>
          <w:rFonts w:ascii="Times New Roman" w:hAnsi="Times New Roman" w:cs="Times New Roman"/>
          <w:b w:val="0"/>
        </w:rPr>
        <w:t xml:space="preserve">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</w:t>
      </w:r>
      <w:r>
        <w:rPr>
          <w:rFonts w:ascii="Times New Roman" w:hAnsi="Times New Roman" w:cs="Times New Roman"/>
          <w:b w:val="0"/>
          <w:bCs w:val="0"/>
        </w:rPr>
        <w:t xml:space="preserve">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 xml:space="preserve">результаты оценки заявок на участие в закупке с указанием итогового решения Закупочной комиссии о соответствии таких заявок требованиям доку</w:t>
      </w:r>
      <w:r>
        <w:rPr>
          <w:rFonts w:ascii="Times New Roman" w:hAnsi="Times New Roman" w:cs="Times New Roman"/>
          <w:b w:val="0"/>
        </w:rPr>
        <w:t xml:space="preserve">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</w:t>
      </w:r>
      <w:r>
        <w:rPr>
          <w:rFonts w:ascii="Times New Roman" w:hAnsi="Times New Roman" w:cs="Times New Roman"/>
          <w:b w:val="0"/>
          <w:bCs w:val="0"/>
        </w:rPr>
        <w:t xml:space="preserve">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</w:t>
      </w:r>
      <w:r>
        <w:rPr>
          <w:rFonts w:ascii="Times New Roman" w:hAnsi="Times New Roman" w:cs="Times New Roman"/>
          <w:b w:val="0"/>
          <w:bCs w:val="0"/>
        </w:rPr>
        <w:t xml:space="preserve">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4" w:name="_Toc36"/>
      <w:r>
        <w:rPr>
          <w:sz w:val="24"/>
          <w:szCs w:val="24"/>
        </w:rPr>
        <w:t xml:space="preserve">Признание закупки несостоявшейся</w:t>
      </w:r>
      <w:bookmarkEnd w:id="94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</w:t>
      </w:r>
      <w:r>
        <w:rPr>
          <w:rFonts w:ascii="Times New Roman" w:hAnsi="Times New Roman" w:cs="Times New Roman"/>
          <w:b w:val="0"/>
          <w:bCs w:val="0"/>
        </w:rPr>
        <w:t xml:space="preserve">ем о закупке Заказчика.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5" w:name="_Toc37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95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r>
        <w:t xml:space="preserve">В случае необходимости, после завершения процедуры закупк</w:t>
      </w:r>
      <w:r>
        <w:t xml:space="preserve">и участник вправе направить в адрес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</w:t>
      </w:r>
      <w:r>
        <w:t xml:space="preserve">мента получения такого запроса.</w:t>
      </w:r>
      <w:r/>
    </w:p>
    <w:p>
      <w:r/>
      <w:r/>
    </w:p>
    <w:p>
      <w:pPr>
        <w:pStyle w:val="114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96" w:name="Par110"/>
      <w:r/>
      <w:bookmarkStart w:id="97" w:name="Par144"/>
      <w:r/>
      <w:bookmarkStart w:id="98" w:name="_Toc38"/>
      <w:r/>
      <w:bookmarkEnd w:id="87"/>
      <w:r/>
      <w:bookmarkEnd w:id="96"/>
      <w:r/>
      <w:bookmarkEnd w:id="97"/>
      <w:r>
        <w:rPr>
          <w:sz w:val="24"/>
          <w:szCs w:val="24"/>
        </w:rPr>
        <w:t xml:space="preserve">ЗАКЛЮЧЕНИЕ, ИЗМЕНЕНИЕ И РАСТОРЖЕНИЕ ДОГОВОРА</w:t>
      </w:r>
      <w:bookmarkEnd w:id="98"/>
      <w:r/>
      <w:r>
        <w:rPr>
          <w:sz w:val="24"/>
          <w:szCs w:val="24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9" w:name="_Обеспечения_исполнения_договора,"/>
      <w:r/>
      <w:bookmarkStart w:id="100" w:name="_Ref130891676"/>
      <w:r/>
      <w:bookmarkStart w:id="101" w:name="_Toc39"/>
      <w:r/>
      <w:bookmarkEnd w:id="99"/>
      <w:r>
        <w:rPr>
          <w:sz w:val="24"/>
          <w:szCs w:val="24"/>
        </w:rPr>
        <w:t xml:space="preserve">Срок и порядок заключения договора</w:t>
      </w:r>
      <w:bookmarkEnd w:id="100"/>
      <w:r/>
      <w:bookmarkEnd w:id="101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</w:t>
      </w:r>
      <w:r>
        <w:rPr>
          <w:rFonts w:ascii="Times New Roman" w:hAnsi="Times New Roman" w:cs="Times New Roman"/>
          <w:b w:val="0"/>
        </w:rPr>
        <w:t xml:space="preserve">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</w:t>
      </w:r>
      <w:r>
        <w:rPr>
          <w:rFonts w:ascii="Times New Roman" w:hAnsi="Times New Roman" w:cs="Times New Roman"/>
          <w:b w:val="0"/>
        </w:rPr>
        <w:t xml:space="preserve"> </w:t>
      </w:r>
      <w:hyperlink r:id="rId27" w:tooltip="https://www.consultant.ru/document/cons_doc_LAW_494318/92d969e26a4326c5d02fa79b8f9cf4994ee5633b/" w:history="1">
        <w:r>
          <w:rPr>
            <w:rStyle w:val="1360"/>
            <w:rFonts w:ascii="Times New Roman" w:hAnsi="Times New Roman" w:cs="Times New Roman"/>
            <w:b w:val="0"/>
          </w:rPr>
          <w:t xml:space="preserve">постановления Правительства РФ от 23.12.</w:t>
        </w:r>
        <w:r>
          <w:rPr>
            <w:rStyle w:val="1360"/>
            <w:rFonts w:ascii="Times New Roman" w:hAnsi="Times New Roman" w:cs="Times New Roman"/>
            <w:b w:val="0"/>
          </w:rPr>
          <w:t xml:space="preserve">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установлен запрет закупки работ, услуг, соответственно выполняемых, оказываемых иностранным лицом, то не допускается заключение договора на выпо</w:t>
      </w:r>
      <w:r>
        <w:rPr>
          <w:rFonts w:ascii="Times New Roman" w:hAnsi="Times New Roman" w:cs="Times New Roman"/>
          <w:b w:val="0"/>
        </w:rPr>
        <w:t xml:space="preserve">лнение такой работы, оказание такой услуги с подрядчиком (исполнителем), являющимся иностранным лицом.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 </w:t>
      </w:r>
      <w:hyperlink r:id="rId28" w:tooltip="https://www.consultant.ru/document/cons_doc_LAW_494318/92d969e26a4326c5d02fa79b8f9cf4994ee5633b/" w:history="1">
        <w:r>
          <w:rPr>
            <w:rStyle w:val="1360"/>
            <w:rFonts w:ascii="Times New Roman" w:hAnsi="Times New Roman" w:cs="Times New Roman"/>
            <w:b w:val="0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 устано</w:t>
      </w:r>
      <w:r>
        <w:rPr>
          <w:rFonts w:ascii="Times New Roman" w:hAnsi="Times New Roman" w:cs="Times New Roman"/>
          <w:b w:val="0"/>
        </w:rPr>
        <w:t xml:space="preserve">влено ограничение закупки работ, услуг, соответственно выполняемых, оказываемых иностранным лицом, то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</w:t>
      </w:r>
      <w:r>
        <w:rPr>
          <w:rFonts w:ascii="Times New Roman" w:hAnsi="Times New Roman" w:cs="Times New Roman"/>
          <w:b w:val="0"/>
        </w:rPr>
        <w:t xml:space="preserve">ьное предложение, признанные по результатам их рассмотрения соответствующими требованиям Стандарта,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</w:t>
      </w:r>
      <w:r>
        <w:rPr>
          <w:rFonts w:ascii="Times New Roman" w:hAnsi="Times New Roman" w:cs="Times New Roman"/>
          <w:b w:val="0"/>
        </w:rPr>
        <w:t xml:space="preserve">нтной закупки).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</w:t>
      </w:r>
      <w:hyperlink w:tooltip="#_Право_зака" w:anchor="_Право_зака" w:history="1">
        <w:r>
          <w:rPr>
            <w:rStyle w:val="1360"/>
            <w:rFonts w:ascii="Times New Roman" w:hAnsi="Times New Roman" w:cs="Times New Roman"/>
            <w:b w:val="0"/>
          </w:rPr>
          <w:t xml:space="preserve">23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/>
      <w:bookmarkStart w:id="102" w:name="_6.1.5._Поб"/>
      <w:r/>
      <w:bookmarkStart w:id="103" w:name="_Победитель_закупки_(либо"/>
      <w:r/>
      <w:bookmarkEnd w:id="102"/>
      <w:r/>
      <w:bookmarkEnd w:id="103"/>
      <w:r>
        <w:rPr>
          <w:rFonts w:ascii="Times New Roman" w:hAnsi="Times New Roman" w:cs="Times New Roman"/>
          <w:b w:val="0"/>
        </w:rPr>
        <w:t xml:space="preserve">Победитель закупки (либо единственный участник, признанный соответствующим требованиям документации о закупке) обязан в течение 3 (трех) рабочих дней, с даты размещения итогового проток</w:t>
      </w:r>
      <w:r>
        <w:rPr>
          <w:rFonts w:ascii="Times New Roman" w:hAnsi="Times New Roman" w:cs="Times New Roman"/>
          <w:b w:val="0"/>
        </w:rPr>
        <w:t xml:space="preserve">ола в ЕИС,  направить по электронной почте лицу ответственному за заключение договора и указанному </w:t>
      </w:r>
      <w:r>
        <w:rPr>
          <w:rFonts w:ascii="Times New Roman" w:hAnsi="Times New Roman" w:cs="Times New Roman"/>
          <w:b w:val="0"/>
          <w:highlight w:val="white"/>
        </w:rPr>
        <w:t xml:space="preserve">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Наименование,_место_нахождения," w:anchor="_Наименование,_место_нахождения," w:history="1">
        <w:r>
          <w:rPr>
            <w:rStyle w:val="1360"/>
            <w:rFonts w:ascii="Times New Roman" w:hAnsi="Times New Roman" w:cs="Times New Roman"/>
            <w:b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, заполненные пр</w:t>
      </w:r>
      <w:r>
        <w:rPr>
          <w:rFonts w:ascii="Times New Roman" w:hAnsi="Times New Roman" w:cs="Times New Roman"/>
          <w:b w:val="0"/>
        </w:rPr>
        <w:t xml:space="preserve">иложения к договору, содержащие информацию о цене, а также сроках поставки товара, выполнения работ, оказания услуг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 заполненное </w:t>
      </w: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  <w:b w:val="0"/>
        </w:rPr>
        <w:t xml:space="preserve"> к закупочной документации. При этом общая итоговая стоимость не должна превышать окончательную цену заявки Побе</w:t>
      </w:r>
      <w:r>
        <w:rPr>
          <w:rFonts w:ascii="Times New Roman" w:hAnsi="Times New Roman" w:cs="Times New Roman"/>
          <w:b w:val="0"/>
        </w:rPr>
        <w:t xml:space="preserve">дителя (либо единственного участника, признанного соответствующим требованиям документации о закупке, с которым планируется заключить договор), а сроки поставки товара, выполнения работ (оказания услуг) не должны противоречить предлагаемым срокам поставки </w:t>
      </w:r>
      <w:r>
        <w:rPr>
          <w:rFonts w:ascii="Times New Roman" w:hAnsi="Times New Roman" w:cs="Times New Roman"/>
          <w:b w:val="0"/>
        </w:rPr>
        <w:t xml:space="preserve">товара, выполнения работ, оказания услуг, указанным в заявке. Участник</w:t>
      </w:r>
      <w:r>
        <w:rPr>
          <w:rFonts w:ascii="Times New Roman" w:hAnsi="Times New Roman"/>
          <w:b w:val="0"/>
        </w:rPr>
        <w:t xml:space="preserve"> не в праве превышать единичные расценки, указанные в Приложении № 2 к части II «ИНФОРМАЦИОННАЯ КАРТА ЗАКУПКИ»</w:t>
      </w:r>
      <w:r>
        <w:rPr>
          <w:rStyle w:val="1360"/>
          <w:rFonts w:ascii="Times New Roman" w:hAnsi="Times New Roman"/>
          <w:b w:val="0"/>
          <w:u w:val="none"/>
        </w:rPr>
        <w:t xml:space="preserve">.</w:t>
      </w:r>
      <w:r>
        <w:rPr>
          <w:rFonts w:ascii="Times New Roman" w:hAnsi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(либо единственный участник, признанный с</w:t>
      </w:r>
      <w:r>
        <w:rPr>
          <w:rFonts w:ascii="Times New Roman" w:hAnsi="Times New Roman" w:cs="Times New Roman"/>
          <w:b w:val="0"/>
        </w:rPr>
        <w:t xml:space="preserve">оответствующим требованиям документации о закупке), не предоставит в течение 3 (трех) рабочих дней с даты размещения в ЕИС итогового протокола заполненные приложения к договору, содержащие информацию о цене, а также сроках поставки товара/выполнения работ/</w:t>
      </w:r>
      <w:r>
        <w:rPr>
          <w:rFonts w:ascii="Times New Roman" w:hAnsi="Times New Roman" w:cs="Times New Roman"/>
          <w:b w:val="0"/>
        </w:rPr>
        <w:t xml:space="preserve">оказании услуг, либо представит указанные сведения с нарушением условий, установленных в пункте </w:t>
      </w:r>
      <w:hyperlink w:tooltip="#_Победитель_закупки_(либо" w:anchor="_6.1.5._Поб" w:history="1">
        <w:r>
          <w:rPr>
            <w:rStyle w:val="1360"/>
            <w:rFonts w:ascii="Times New Roman" w:hAnsi="Times New Roman" w:cs="Times New Roman"/>
            <w:b w:val="0"/>
          </w:rPr>
          <w:t xml:space="preserve">6.1.5</w:t>
        </w:r>
      </w:hyperlink>
      <w:r>
        <w:rPr>
          <w:rFonts w:ascii="Times New Roman" w:hAnsi="Times New Roman" w:cs="Times New Roman"/>
          <w:b w:val="0"/>
        </w:rPr>
        <w:t xml:space="preserve">, указанные приложения будут </w:t>
      </w:r>
      <w:r>
        <w:rPr>
          <w:rFonts w:ascii="Times New Roman" w:hAnsi="Times New Roman" w:cs="Times New Roman"/>
          <w:b w:val="0"/>
        </w:rPr>
        <w:t xml:space="preserve">сформированы Заказчиком самостоятельно, а стоимость кажд</w:t>
      </w:r>
      <w:r>
        <w:rPr>
          <w:rFonts w:ascii="Times New Roman" w:hAnsi="Times New Roman" w:cs="Times New Roman"/>
          <w:b w:val="0"/>
        </w:rPr>
        <w:t xml:space="preserve">ой позиции будет рассчитана путём применения единого понижающего коэффициента к единичным расценкам, </w:t>
      </w:r>
      <w:r>
        <w:rPr>
          <w:rFonts w:ascii="Times New Roman" w:hAnsi="Times New Roman"/>
          <w:b w:val="0"/>
        </w:rPr>
        <w:t xml:space="preserve">указанные в </w:t>
      </w:r>
      <w:hyperlink w:tooltip="#_Приложение_1" w:anchor="_Приложение_1" w:history="1">
        <w:r>
          <w:rPr>
            <w:rStyle w:val="1360"/>
            <w:rFonts w:ascii="Times New Roman" w:hAnsi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: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before="120"/>
        <w:tabs>
          <w:tab w:val="left" w:pos="459" w:leader="none"/>
        </w:tabs>
      </w:pPr>
      <w:r>
        <w:t xml:space="preserve">Понижающий коэффициент рассчитыв</w:t>
      </w:r>
      <w:r>
        <w:t xml:space="preserve">ается по формуле: </w:t>
      </w:r>
      <w:r/>
    </w:p>
    <w:p>
      <w:pPr>
        <w:jc w:val="center"/>
        <w:spacing w:before="120" w:after="120"/>
        <w:tabs>
          <w:tab w:val="left" w:pos="459" w:leader="none"/>
        </w:tabs>
      </w:pPr>
      <w:r>
        <w:rPr>
          <w:lang w:val="en-US"/>
        </w:rPr>
        <w:t xml:space="preserve">d</w:t>
      </w:r>
      <w:r>
        <w:t xml:space="preserve"> =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/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,</w:t>
      </w:r>
      <w:r/>
    </w:p>
    <w:p>
      <w:pPr>
        <w:pStyle w:val="1453"/>
        <w:ind w:left="0" w:firstLine="567"/>
      </w:pPr>
      <w:r>
        <w:t xml:space="preserve">где </w:t>
      </w:r>
      <w:r>
        <w:rPr>
          <w:lang w:val="en-US"/>
        </w:rPr>
        <w:t xml:space="preserve">d</w:t>
      </w:r>
      <w:r>
        <w:t xml:space="preserve"> – понижающий коэффициент;</w:t>
      </w:r>
      <w:r/>
    </w:p>
    <w:p>
      <w:pPr>
        <w:pStyle w:val="1453"/>
        <w:ind w:left="0" w:firstLine="567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– окончательная цена заявки Победителя закупки, без учета НДС</w:t>
      </w:r>
      <w:r>
        <w:rPr>
          <w:bCs/>
        </w:rPr>
        <w:t xml:space="preserve">;</w:t>
      </w:r>
      <w:r/>
    </w:p>
    <w:p>
      <w:pPr>
        <w:pStyle w:val="1453"/>
        <w:ind w:left="0" w:firstLine="567"/>
        <w:jc w:val="right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 </w:t>
      </w:r>
      <w:r>
        <w:rPr>
          <w:bCs/>
        </w:rPr>
        <w:t xml:space="preserve">– объявленная начальная (максимальная) цена договора (лота)</w:t>
      </w:r>
      <w:r>
        <w:t xml:space="preserve"> без учета НДС</w:t>
      </w:r>
      <w:r>
        <w:rPr>
          <w:bCs/>
        </w:rPr>
        <w:t xml:space="preserve">.</w:t>
      </w:r>
      <w:r/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протокола, в том числе посредством использования программно-аппаратных средств ЭТП. В случае необходимос</w:t>
      </w:r>
      <w:r>
        <w:rPr>
          <w:rFonts w:ascii="Times New Roman" w:hAnsi="Times New Roman" w:cs="Times New Roman"/>
          <w:b w:val="0"/>
        </w:rPr>
        <w:t xml:space="preserve">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</w:t>
      </w:r>
      <w:r>
        <w:rPr>
          <w:rFonts w:ascii="Times New Roman" w:hAnsi="Times New Roman" w:cs="Times New Roman"/>
          <w:b w:val="0"/>
        </w:rPr>
        <w:t xml:space="preserve">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</w:t>
      </w:r>
      <w:r>
        <w:rPr>
          <w:rFonts w:ascii="Times New Roman" w:hAnsi="Times New Roman" w:cs="Times New Roman"/>
          <w:b w:val="0"/>
          <w:bCs w:val="0"/>
        </w:rPr>
        <w:t xml:space="preserve">ии документа) подписанный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Заказчика. Участник подписывает проект договора</w:t>
      </w:r>
      <w:r>
        <w:rPr>
          <w:rFonts w:ascii="Times New Roman" w:hAnsi="Times New Roman" w:cs="Times New Roman"/>
          <w:b w:val="0"/>
          <w:bCs w:val="0"/>
        </w:rPr>
        <w:t xml:space="preserve"> в течение 3 (трех) рабочих дней и направляет его Заказчику.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</w:t>
      </w:r>
      <w:r>
        <w:rPr>
          <w:rFonts w:ascii="Times New Roman" w:hAnsi="Times New Roman" w:cs="Times New Roman"/>
          <w:b w:val="0"/>
          <w:bCs w:val="0"/>
        </w:rPr>
        <w:t xml:space="preserve">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</w:t>
      </w:r>
      <w:r>
        <w:rPr>
          <w:rFonts w:ascii="Times New Roman" w:hAnsi="Times New Roman" w:cs="Times New Roman"/>
          <w:b w:val="0"/>
          <w:bCs w:val="0"/>
        </w:rPr>
        <w:t xml:space="preserve">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</w:t>
      </w:r>
      <w:r>
        <w:rPr>
          <w:rFonts w:ascii="Times New Roman" w:hAnsi="Times New Roman" w:cs="Times New Roman"/>
          <w:b w:val="0"/>
          <w:bCs w:val="0"/>
        </w:rPr>
        <w:t xml:space="preserve">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участником, обеспечивает подписание такого дог</w:t>
      </w:r>
      <w:r>
        <w:rPr>
          <w:rFonts w:ascii="Times New Roman" w:hAnsi="Times New Roman" w:cs="Times New Roman"/>
          <w:b w:val="0"/>
          <w:bCs w:val="0"/>
        </w:rPr>
        <w:t xml:space="preserve">овора в срок, не превышающий 20 (двадцати) дней с даты размещения в ЕИС итогового протокола по результатам закупки.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Условие о подсудности разрешения споров по договору, указанное в части </w:t>
      </w:r>
      <w:hyperlink w:tooltip="#_ФОРМА_15._Справка" w:anchor="_ФОРМА_15._Справка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IV «П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является существенным условием и не части изменению при проведении преддоговорных переговоров (в случае их проведения). Направление протокола разногласий к договору об изменении подсудности разрешения споров по догово</w:t>
      </w:r>
      <w:r>
        <w:rPr>
          <w:rFonts w:ascii="Times New Roman" w:hAnsi="Times New Roman" w:cs="Times New Roman"/>
          <w:b w:val="0"/>
          <w:bCs w:val="0"/>
        </w:rPr>
        <w:t xml:space="preserve">ру будет рассматриваться Заказчиком как уклонение от заключения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4" w:name="_Toc40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104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установить в документации о закупке требование к обеспечен</w:t>
      </w:r>
      <w:r>
        <w:rPr>
          <w:rFonts w:ascii="Times New Roman" w:hAnsi="Times New Roman" w:cs="Times New Roman"/>
          <w:b w:val="0"/>
          <w:bCs w:val="0"/>
        </w:rPr>
        <w:t xml:space="preserve">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hyperlink w:tooltip="#_Размер_обеспечения_исполнения" w:anchor="_Размер_обеспечения_исполнения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21 части 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</w:t>
      </w:r>
      <w:hyperlink w:tooltip="#_Размер_обеспечения_исполнения" w:anchor="_Размер_обеспечения_исполнения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21 ча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сти II </w:t>
        </w:r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форме независимой гарантии, а для лиц, указанных в п.6.2.5 - в форме поручительства. Выбор способа обеспечения исполнения договора осуществляется участником закупки самостоятельно. Предоставление обеспечения иным, не</w:t>
      </w:r>
      <w:r>
        <w:rPr>
          <w:rFonts w:ascii="Times New Roman" w:hAnsi="Times New Roman" w:cs="Times New Roman"/>
          <w:b w:val="0"/>
          <w:bCs w:val="0"/>
        </w:rPr>
        <w:t xml:space="preserve">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вв части </w:t>
      </w:r>
      <w:hyperlink w:tooltip="#_ФОРМА_15._Справка" w:anchor="_ФОРМА_15._Справка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Style w:val="1360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</w:t>
      </w:r>
      <w:r>
        <w:rPr>
          <w:rFonts w:ascii="Times New Roman" w:hAnsi="Times New Roman" w:cs="Times New Roman"/>
          <w:b w:val="0"/>
          <w:bCs w:val="0"/>
        </w:rPr>
        <w:t xml:space="preserve">енные в качестве обеспечения исполнения договора возвращаются участнику в сроки, указанные в части </w:t>
      </w:r>
      <w:hyperlink w:tooltip="#_ФОРМА_15._Справка" w:anchor="_ФОРМА_15._Справка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/>
      <w:hyperlink w:tooltip="#_ПРОЕКТ_ДОГОВОРА" w:anchor="_ПРОЕКТ_ДОГОВОРА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.</w:t>
        </w:r>
      </w:hyperlink>
      <w:r/>
      <w:r>
        <w:rPr>
          <w:rStyle w:val="1360"/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</w:t>
      </w:r>
      <w:r>
        <w:rPr>
          <w:rFonts w:ascii="Times New Roman" w:hAnsi="Times New Roman" w:cs="Times New Roman"/>
          <w:b w:val="0"/>
        </w:rPr>
        <w:t xml:space="preserve"> по результатам закупки договор заключается с организациями, в отношении которых иностранными государствами введены ограничительные меры, а также организациями, в отношении бенефициарных </w:t>
      </w:r>
      <w:r>
        <w:rPr>
          <w:rFonts w:ascii="Times New Roman" w:hAnsi="Times New Roman" w:cs="Times New Roman"/>
          <w:b w:val="0"/>
          <w:spacing w:val="-4"/>
        </w:rPr>
        <w:t xml:space="preserve">владельцев (если совокупная доля их прямого и (или) косвенного участи</w:t>
      </w:r>
      <w:r>
        <w:rPr>
          <w:rFonts w:ascii="Times New Roman" w:hAnsi="Times New Roman" w:cs="Times New Roman"/>
          <w:b w:val="0"/>
          <w:spacing w:val="-4"/>
        </w:rPr>
        <w:t xml:space="preserve">я в этой</w:t>
      </w:r>
      <w:r>
        <w:rPr>
          <w:rFonts w:ascii="Times New Roman" w:hAnsi="Times New Roman" w:cs="Times New Roman"/>
          <w:b w:val="0"/>
        </w:rPr>
        <w:t xml:space="preserve"> организации составляет не менее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 такими организациями – участниками закуп</w:t>
      </w:r>
      <w:r>
        <w:rPr>
          <w:rFonts w:ascii="Times New Roman" w:hAnsi="Times New Roman" w:cs="Times New Roman"/>
          <w:b w:val="0"/>
        </w:rPr>
        <w:t xml:space="preserve">ки лиц (далее – Аффилированные лица):</w:t>
      </w:r>
      <w:r>
        <w:rPr>
          <w:rFonts w:ascii="Times New Roman" w:hAnsi="Times New Roman" w:cs="Times New Roman"/>
          <w:b w:val="0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обладающих 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</w:t>
      </w:r>
      <w:r>
        <w:t xml:space="preserve"> кредитного рейтингового агентства Акционерное общество «Рейтинговое Агентство «Эксперт РА»;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представивших заказчику сведения, подтверждающих платежеспособность Аффилированного лица (ежегодную или квартальную бухгалтерскую (финансовую) отчетность на послед</w:t>
      </w:r>
      <w:r>
        <w:t xml:space="preserve">нюю отчетную дату) (в копиях с отметкой Федеральной налоговой службы, заверенных печатью организации и подписанных руководителем организации);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принявших обязательство письменно извещать заказчика в течение 3 рабочих дней со дня наступления следующих событи</w:t>
      </w:r>
      <w:r>
        <w:t xml:space="preserve">й: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изменение местонахождения, учредительных документов, органов управления Аффилированного лица, банковс</w:t>
      </w:r>
      <w:r>
        <w:t xml:space="preserve">ких реквизитов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решения о реорганизации или ликвидации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судом к производству заявления о признании Аффилированного лица несостоятельным (банкротом);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представивших заказчику </w:t>
      </w:r>
      <w:r>
        <w:rPr>
          <w:spacing w:val="-4"/>
        </w:rPr>
        <w:t xml:space="preserve">письма (оригинал), подт</w:t>
      </w:r>
      <w:r>
        <w:rPr>
          <w:spacing w:val="-4"/>
        </w:rPr>
        <w:t xml:space="preserve">верждающего, что в отношении контрагента участника закупки/бенефициарного владельца контрагента иностранными государствами введены ограничительные меры, а также содержащее сопроводительные документы, подтверждающие достоверность представленных в письме све</w:t>
      </w:r>
      <w:r>
        <w:rPr>
          <w:spacing w:val="-4"/>
        </w:rPr>
        <w:t xml:space="preserve">дений со ссылкой на источники информации (оригинал/копия, заверенная Аффилированным лицом);</w:t>
      </w:r>
      <w:r>
        <w:rPr>
          <w:spacing w:val="-4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 представление документов, подтверждающих аффилированность лица с контрагентом, в отношении которого предоставляется поручительство (оригинал/ копия, заверенная Афф</w:t>
      </w:r>
      <w:r>
        <w:t xml:space="preserve">илированным лицом);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представление иных дополнительных документов либо сведений по запросу Общества при наступлении одного из событий, указанных в пункте 6.2.5 в).</w:t>
      </w:r>
      <w:r>
        <w:rPr>
          <w:spacing w:val="-4"/>
        </w:rPr>
      </w:r>
    </w:p>
    <w:p>
      <w:pPr>
        <w:ind w:firstLine="567"/>
        <w:spacing w:after="0"/>
        <w:tabs>
          <w:tab w:val="left" w:pos="0" w:leader="none"/>
          <w:tab w:val="left" w:pos="845" w:leader="none"/>
        </w:tabs>
      </w:pPr>
      <w:r>
        <w:rPr>
          <w:spacing w:val="-4"/>
        </w:rPr>
        <w:t xml:space="preserve">При наступлении одного из </w:t>
      </w:r>
      <w:r>
        <w:t xml:space="preserve">событий, указанных в пункте 6.2.5 в), либо в случае несоответствия </w:t>
      </w:r>
      <w:r>
        <w:t xml:space="preserve">Аффилированного лица критериям, указанным в пункте 6.2.5, </w:t>
      </w:r>
      <w:r>
        <w:rPr>
          <w:spacing w:val="-4"/>
        </w:rPr>
        <w:t xml:space="preserve">а также в случае отказа Аффилированного лица от представления документов, предусмотренных п. </w:t>
      </w:r>
      <w:r>
        <w:t xml:space="preserve">6.2.5</w:t>
      </w:r>
      <w:r>
        <w:rPr>
          <w:spacing w:val="-4"/>
        </w:rPr>
        <w:t xml:space="preserve">, Заказчик вправе отказаться от принятия поручительства Аффилированного лица/требовать замены ранее </w:t>
      </w:r>
      <w:r>
        <w:rPr>
          <w:spacing w:val="-4"/>
        </w:rPr>
        <w:t xml:space="preserve">предоставленного поручительства Аффилированного лица на независимую гарантию, на поручительство иного Аффилированного лица, на иное обеспечение обязательств, предусмотренное условиями договора.</w:t>
      </w:r>
      <w:r/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 xml:space="preserve">В случае предоставления обеспечения исполнения договора в форм</w:t>
      </w:r>
      <w:r>
        <w:rPr>
          <w:rFonts w:ascii="Times New Roman" w:hAnsi="Times New Roman" w:cs="Times New Roman"/>
          <w:b w:val="0"/>
          <w:spacing w:val="-4"/>
        </w:rPr>
        <w:t xml:space="preserve">е поручительства, договор дополняется соответствующим разделом в ходе преддоговорных переговоров. </w:t>
      </w:r>
      <w:r>
        <w:rPr>
          <w:rFonts w:ascii="Times New Roman" w:hAnsi="Times New Roman" w:cs="Times New Roman"/>
          <w:b w:val="0"/>
          <w:spacing w:val="-4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mallCaps/>
        </w:rPr>
      </w:pPr>
      <w:r/>
      <w:bookmarkStart w:id="105" w:name="_Требования_к_условиям"/>
      <w:r/>
      <w:bookmarkStart w:id="106" w:name="_Toc41"/>
      <w:r/>
      <w:bookmarkEnd w:id="105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106"/>
      <w:r/>
      <w:r>
        <w:rPr>
          <w:bCs w:val="0"/>
          <w:smallCaps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выборе участником закупки способа обеспечения договора в </w:t>
      </w:r>
      <w:r>
        <w:rPr>
          <w:rFonts w:ascii="Times New Roman" w:hAnsi="Times New Roman" w:cs="Times New Roman"/>
          <w:b w:val="0"/>
          <w:bCs w:val="0"/>
        </w:rPr>
        <w:t xml:space="preserve">форме независимой гарантии участник должен предоставить независимую гарантию, составленную с учетом требований статей </w:t>
      </w:r>
      <w:hyperlink r:id="rId29" w:tooltip="https://www.consultant.ru/document/cons_doc_LAW_5142/03edc46b2ef855fddfaaa3d77dac1d071ef3dba1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368</w:t>
        </w:r>
      </w:hyperlink>
      <w:r>
        <w:rPr>
          <w:rFonts w:ascii="Times New Roman" w:hAnsi="Times New Roman" w:cs="Times New Roman"/>
          <w:b w:val="0"/>
          <w:bCs w:val="0"/>
        </w:rPr>
        <w:t xml:space="preserve">-</w:t>
      </w:r>
      <w:hyperlink r:id="rId30" w:tooltip="https://www.consultant.ru/document/cons_doc_LAW_5142/e8b1dba1c6def4f632470a9857908caf60fec137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379</w:t>
        </w:r>
      </w:hyperlink>
      <w:r>
        <w:rPr>
          <w:rFonts w:ascii="Times New Roman" w:hAnsi="Times New Roman" w:cs="Times New Roman"/>
          <w:b w:val="0"/>
          <w:bCs w:val="0"/>
        </w:rPr>
        <w:t xml:space="preserve"> Гражданского кодекса Российской Федерации и следующих условий:</w:t>
      </w:r>
      <w:r>
        <w:rPr>
          <w:rFonts w:ascii="Times New Roman" w:hAnsi="Times New Roman" w:cs="Times New Roman"/>
          <w:b w:val="0"/>
          <w:bCs w:val="0"/>
        </w:rPr>
      </w:r>
    </w:p>
    <w:p>
      <w:pPr>
        <w:numPr>
          <w:ilvl w:val="0"/>
          <w:numId w:val="26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гарантом, предусмотренным </w:t>
      </w:r>
      <w:hyperlink r:id="rId31" w:tooltip="https://www.consultant.ru/document/cons_doc_LAW_144624/af90cad46f4484d18fa490ef1c9d7a3b2fd3be3b/#dst2441" w:anchor="dst2441" w:history="1">
        <w:r>
          <w:rPr>
            <w:rStyle w:val="1360"/>
            <w:bCs/>
          </w:rPr>
          <w:t xml:space="preserve">частью 1 статьи 45 Федерального закона от 5 апреля 2013 года № 44-ФЗ «О контрактной системе в сфере закупок тов</w:t>
        </w:r>
        <w:r>
          <w:rPr>
            <w:rStyle w:val="1360"/>
            <w:bCs/>
          </w:rPr>
          <w:t xml:space="preserve">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должна быть безотзывной;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срок действия независимой гарантии должен начинаться не позднее даты заключения договора (в случае заключения дополнительного соглашения</w:t>
      </w:r>
      <w:r>
        <w:t xml:space="preserve">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</w:t>
      </w:r>
      <w:r>
        <w:rPr>
          <w:bCs/>
        </w:rPr>
        <w:t xml:space="preserve">календарных </w:t>
      </w:r>
      <w:r>
        <w:t xml:space="preserve">дней после планируемого срока исполнения контрагентом обязательств по договору;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в не</w:t>
      </w:r>
      <w:r>
        <w:t xml:space="preserve">зависимой гарантии должно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</w:t>
      </w:r>
      <w:r>
        <w:t xml:space="preserve">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pStyle w:val="1453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pStyle w:val="1453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pStyle w:val="1453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499"/>
        </w:rPr>
        <w:t xml:space="preserve">кредитная организаци</w:t>
      </w:r>
      <w:r>
        <w:rPr>
          <w:rStyle w:val="1499"/>
        </w:rPr>
        <w:t xml:space="preserve">я обладает действующей лицензией на банковскую деятельность, выданной Банком России</w:t>
      </w:r>
      <w:r>
        <w:rPr>
          <w:rStyle w:val="1499"/>
          <w:vertAlign w:val="superscript"/>
        </w:rPr>
        <w:footnoteReference w:customMarkFollows="1" w:id="10"/>
        <w:t xml:space="preserve">1</w:t>
      </w:r>
      <w:r>
        <w:rPr>
          <w:rStyle w:val="1499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499"/>
          <w:vertAlign w:val="superscript"/>
        </w:rPr>
        <w:footnoteReference w:customMarkFollows="1" w:id="11"/>
        <w:t xml:space="preserve">2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499"/>
        </w:rPr>
        <w:t xml:space="preserve">кред</w:t>
      </w:r>
      <w:r>
        <w:rPr>
          <w:rStyle w:val="1499"/>
        </w:rPr>
        <w:t xml:space="preserve">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</w:t>
      </w:r>
      <w:r>
        <w:rPr>
          <w:rStyle w:val="1499"/>
        </w:rPr>
        <w:t xml:space="preserve">Фонда консолидации банковск</w:t>
      </w:r>
      <w:r>
        <w:rPr>
          <w:rStyle w:val="1499"/>
        </w:rPr>
        <w:t xml:space="preserve">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входит </w:t>
      </w:r>
      <w:r>
        <w:t xml:space="preserve">в перечень кредитных организаций, соответствующих требованиям, установленным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</w:t>
      </w:r>
      <w:r>
        <w:t xml:space="preserve">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</w:t>
      </w:r>
      <w:r>
        <w:t xml:space="preserve">дов</w:t>
      </w:r>
      <w:r>
        <w:rPr>
          <w:vertAlign w:val="superscript"/>
        </w:rPr>
        <w:footnoteReference w:customMarkFollows="1" w:id="12"/>
        <w:t xml:space="preserve">3.</w:t>
      </w:r>
      <w:r/>
    </w:p>
    <w:p>
      <w:pPr>
        <w:numPr>
          <w:ilvl w:val="0"/>
          <w:numId w:val="27"/>
        </w:numPr>
        <w:ind w:left="0" w:firstLine="567"/>
        <w:keepNext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13"/>
        <w:t xml:space="preserve">4</w:t>
      </w:r>
      <w:r/>
    </w:p>
    <w:tbl>
      <w:tblPr>
        <w:tblW w:w="9354" w:type="dxa"/>
        <w:tblInd w:w="8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268"/>
        <w:gridCol w:w="1843"/>
        <w:gridCol w:w="1701"/>
      </w:tblGrid>
      <w:tr>
        <w:tblPrEx/>
        <w:trPr>
          <w:trHeight w:val="8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id="14"/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на возврат авансовых платежей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id="15"/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6.3.2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</w:t>
      </w:r>
      <w:r>
        <w:rPr>
          <w:rFonts w:eastAsia="Arial Unicode MS" w:cs="Arial Unicode MS"/>
          <w:color w:val="000000"/>
        </w:rPr>
        <w:t xml:space="preserve">долгосрочный кредитный рейтинг по национальной шкале, присвоенный аккредитованными Банком России 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6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</w:t>
      </w:r>
      <w:r>
        <w:rPr>
          <w:rFonts w:eastAsia="Arial Unicode MS" w:cs="Arial Unicode MS"/>
          <w:color w:val="000000"/>
        </w:rPr>
        <w:t xml:space="preserve">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7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6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2409"/>
        <w:gridCol w:w="2250"/>
        <w:gridCol w:w="2339"/>
      </w:tblGrid>
      <w:tr>
        <w:tblPrEx/>
        <w:trPr>
          <w:jc w:val="center"/>
          <w:trHeight w:val="300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отсутствие у банка-гаранта в течение предшествующих 24 месяцев прецедентов просрочки исполнения платежных обязательств перед Заказчиком по независимым гарантиям, выданным принципалу, предоставляющему независимую гарантию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</w:p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Лимит на общую сумму единовременн</w:t>
      </w:r>
      <w:r>
        <w:t xml:space="preserve">о действующих гарантий, принятых Обществом для каждого из банков, удовлетворяющих условиям п.п. 6.3.2 а) – е) закупочной документации, устанавливается в размере 10% от собственного капитала банка.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рейтинга (ниже минимально допустимого в с</w:t>
      </w:r>
      <w:r>
        <w:t xml:space="preserve">оответствии с п. 6.3.2 ж) уровня) принятие новых гарантий банка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</w:t>
      </w:r>
      <w:r>
        <w:t xml:space="preserve">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независимых гарантий данной кр</w:t>
      </w:r>
      <w:r>
        <w:rPr>
          <w:bCs/>
        </w:rPr>
        <w:t xml:space="preserve">едитной организации может быть приостановлен.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Вместе с гарантией победитель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</w:t>
      </w:r>
      <w:r>
        <w:rPr>
          <w:bCs/>
        </w:rPr>
        <w:t xml:space="preserve">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</w:t>
      </w:r>
      <w:r>
        <w:rPr>
          <w:bCs/>
        </w:rPr>
        <w:t xml:space="preserve">гаранта о назначении (избрании) единоличного исполнительного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</w:t>
      </w:r>
      <w:r>
        <w:rPr>
          <w:bCs/>
        </w:rPr>
        <w:t xml:space="preserve">оригинал/нотариально заверенная копия/ копия, заверенная гарантом).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оригинала независимой гарантии поставщику (подрядчику, исполнителю) осуществляется по инициативе поставщика (подрядчиком, исполнитель) в следующих случаях:</w:t>
      </w:r>
      <w:r>
        <w:rPr>
          <w:bCs/>
        </w:rPr>
      </w:r>
    </w:p>
    <w:p>
      <w:pPr>
        <w:numPr>
          <w:ilvl w:val="0"/>
          <w:numId w:val="20"/>
        </w:numPr>
        <w:ind w:left="0" w:firstLine="567"/>
        <w:spacing w:after="0"/>
      </w:pPr>
      <w:r>
        <w:t xml:space="preserve">если поставщиком (подрядчиком, исполнителем) исполнены обязательства, исполнение которых покрывала независимая гарантия и Заказчиком исполнены обязательства по оплате;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при замене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по истечении срока действия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в ины</w:t>
      </w:r>
      <w:r>
        <w:t xml:space="preserve">х случаях, предусмотренных договором.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поставщику (подрядчику, исполнителю) независимых гарантий, по которым Заказчиком предъявлены требования об оплате, не производится.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Взыскание (предъявление требований) по независимой гарантии производится при н</w:t>
      </w:r>
      <w:r>
        <w:rPr>
          <w:bCs/>
        </w:rPr>
        <w:t xml:space="preserve">аступлении обстоятельств, предусмотренных независимой гарантией.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/>
          <w:bCs/>
        </w:rPr>
        <w:outlineLvl w:val="2"/>
      </w:pPr>
      <w:r>
        <w:t xml:space="preserve">Срок предоставления независимой гарантии, форма независимой гарантии, Акт приема-передачи независимой(ых) гарантии(й)/ изменений к независимой гарантии, иные требования, связанные с независим</w:t>
      </w:r>
      <w:r>
        <w:t xml:space="preserve">ой гарантией, установлены в</w:t>
      </w:r>
      <w:r>
        <w:rPr>
          <w:b/>
          <w:bCs/>
        </w:rPr>
        <w:t xml:space="preserve"> </w:t>
      </w:r>
      <w:r>
        <w:rPr>
          <w:bCs/>
        </w:rPr>
        <w:t xml:space="preserve">части </w:t>
      </w:r>
      <w:hyperlink w:tooltip="#_ФОРМА_15._Справка" w:anchor="_IV._ПРОЕКТ" w:history="1">
        <w:r>
          <w:rPr>
            <w:rStyle w:val="1360"/>
            <w:bCs/>
          </w:rPr>
          <w:t xml:space="preserve">IV «ПРОЕКТ ДОГОВОРА»</w:t>
        </w:r>
      </w:hyperlink>
      <w:r>
        <w:t xml:space="preserve"> и части </w:t>
      </w:r>
      <w:hyperlink w:tooltip="#_Типовые_формы_независимых" w:anchor="_VII._ТИПОВ" w:history="1">
        <w:r>
          <w:rPr>
            <w:rStyle w:val="1360"/>
          </w:rPr>
          <w:t xml:space="preserve">VII «ТИПОВЫЕ ФОРМЫ НЕЗАВИСИМЫХ ГАРАНТИЙ»</w:t>
        </w:r>
      </w:hyperlink>
      <w:r>
        <w:t xml:space="preserve">.</w:t>
      </w:r>
      <w:r>
        <w:rPr>
          <w:b/>
          <w:bCs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107" w:name="_Toc42"/>
      <w:r>
        <w:rPr>
          <w:bCs w:val="0"/>
          <w:sz w:val="24"/>
          <w:szCs w:val="24"/>
        </w:rPr>
        <w:t xml:space="preserve">Отказ от заключения договора</w:t>
      </w:r>
      <w:bookmarkEnd w:id="107"/>
      <w:r/>
      <w:r>
        <w:rPr>
          <w:bCs w:val="0"/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</w:t>
      </w:r>
      <w:r>
        <w:rPr>
          <w:rFonts w:ascii="Times New Roman" w:hAnsi="Times New Roman" w:cs="Times New Roman"/>
          <w:b w:val="0"/>
        </w:rPr>
        <w:t xml:space="preserve">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 договора, если Заказчик или Закупочная комиссия обнаружит, что участник закупки не соответству</w:t>
      </w:r>
      <w:r>
        <w:rPr>
          <w:rFonts w:ascii="Times New Roman" w:hAnsi="Times New Roman" w:cs="Times New Roman"/>
          <w:b w:val="0"/>
        </w:rPr>
        <w:t xml:space="preserve">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8" w:name="_Ref302129490"/>
      <w:r>
        <w:rPr>
          <w:rFonts w:ascii="Times New Roman" w:hAnsi="Times New Roman" w:cs="Times New Roman"/>
          <w:b w:val="0"/>
        </w:rPr>
        <w:t xml:space="preserve">Участник закупки, признанный победителем, утрачивает статус победителя, и его действия (бездей</w:t>
      </w:r>
      <w:r>
        <w:rPr>
          <w:rFonts w:ascii="Times New Roman" w:hAnsi="Times New Roman" w:cs="Times New Roman"/>
          <w:b w:val="0"/>
        </w:rPr>
        <w:t xml:space="preserve">ствия) означают отказ от заключения договора в следующих случаях:</w:t>
      </w:r>
      <w:bookmarkEnd w:id="108"/>
      <w:r/>
      <w:r>
        <w:rPr>
          <w:rFonts w:ascii="Times New Roman" w:hAnsi="Times New Roman" w:cs="Times New Roman"/>
          <w:b w:val="0"/>
        </w:rPr>
      </w:r>
    </w:p>
    <w:p>
      <w:pPr>
        <w:pStyle w:val="1476"/>
        <w:numPr>
          <w:ilvl w:val="0"/>
          <w:numId w:val="9"/>
        </w:numPr>
        <w:ind w:left="0" w:firstLine="567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</w:p>
    <w:p>
      <w:pPr>
        <w:pStyle w:val="1469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</w:t>
      </w:r>
      <w:r>
        <w:t xml:space="preserve">ения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</w:t>
      </w:r>
      <w:r>
        <w:t xml:space="preserve">олнения договора и срок его предоставления до заключения договора);</w:t>
      </w:r>
      <w:r>
        <w:rPr>
          <w:smallCaps/>
          <w:color w:val="auto"/>
        </w:rPr>
      </w:r>
    </w:p>
    <w:p>
      <w:pPr>
        <w:pStyle w:val="1469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документа, подтверждающего решение об одобрении заключения крупной сделки либо сделки с заинтересованностью, в случае если победитель закупки (единственный участник соотв</w:t>
      </w:r>
      <w:r>
        <w:t xml:space="preserve">етствующий требованиям документации о закупке) не задекларировал в своей заявке (данная декларация содержится в письме о подаче оферты) отсутствие необходимости одобрения сделки как крупной или как сделки с заинтересованностью.</w:t>
      </w:r>
      <w:r>
        <w:rPr>
          <w:smallCaps/>
          <w:color w:val="auto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</w:t>
      </w:r>
      <w:r>
        <w:rPr>
          <w:rFonts w:ascii="Times New Roman" w:hAnsi="Times New Roman" w:cs="Times New Roman"/>
          <w:b w:val="0"/>
        </w:rPr>
        <w:t xml:space="preserve">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</w:t>
      </w:r>
      <w:r>
        <w:rPr>
          <w:rFonts w:ascii="Times New Roman" w:hAnsi="Times New Roman" w:cs="Times New Roman"/>
          <w:b w:val="0"/>
        </w:rPr>
        <w:t xml:space="preserve">говора, следующие после условий, предложенных победителем закупки.</w:t>
      </w:r>
      <w:r>
        <w:rPr>
          <w:rFonts w:ascii="Times New Roman" w:hAnsi="Times New Roman" w:cs="Times New Roman"/>
          <w:b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9" w:name="_Toc43"/>
      <w:r>
        <w:rPr>
          <w:sz w:val="24"/>
          <w:szCs w:val="24"/>
        </w:rPr>
        <w:t xml:space="preserve">Изменение и расторжение договора</w:t>
      </w:r>
      <w:bookmarkEnd w:id="109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предусмотренном действующим законодательством и </w:t>
      </w:r>
      <w:hyperlink r:id="rId32" w:tooltip="https://zakupki.gov.ru/epz/orderclause/card/common-info.html?orderClauseInfoId=967865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0" w:name="_Ref119429963"/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</w:t>
      </w:r>
      <w:r>
        <w:rPr>
          <w:rFonts w:ascii="Times New Roman" w:hAnsi="Times New Roman" w:cs="Times New Roman"/>
          <w:b w:val="0"/>
          <w:bCs w:val="0"/>
        </w:rPr>
        <w:t xml:space="preserve">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</w:t>
      </w:r>
      <w:r>
        <w:rPr>
          <w:rFonts w:ascii="Times New Roman" w:hAnsi="Times New Roman" w:cs="Times New Roman"/>
          <w:b w:val="0"/>
          <w:bCs w:val="0"/>
        </w:rPr>
        <w:t xml:space="preserve">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</w:t>
      </w:r>
      <w:r>
        <w:rPr>
          <w:rFonts w:ascii="Times New Roman" w:hAnsi="Times New Roman" w:cs="Times New Roman"/>
          <w:b w:val="0"/>
          <w:bCs w:val="0"/>
        </w:rPr>
        <w:t xml:space="preserve"> на поставку товаров (выполнение работ, оказание услуг) заключенных с субъектами МСП, поставщик (исполнитель, подрядчик), при условии </w:t>
      </w:r>
      <w:r>
        <w:rPr>
          <w:rFonts w:ascii="Times New Roman" w:hAnsi="Times New Roman" w:cs="Times New Roman"/>
          <w:b w:val="0"/>
          <w:bCs w:val="0"/>
        </w:rPr>
        <w:t xml:space="preserve">исполнения обязательств по договору вправе переуступить право требования (факторинг) в пользу иного лица (финансового аген</w:t>
      </w:r>
      <w:r>
        <w:rPr>
          <w:rFonts w:ascii="Times New Roman" w:hAnsi="Times New Roman" w:cs="Times New Roman"/>
          <w:b w:val="0"/>
          <w:bCs w:val="0"/>
        </w:rPr>
        <w:t xml:space="preserve">та, фактора).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3" w:tooltip="https://www.consultant.ru/document/cons_doc_LAW_494318/92d969e26a4326c5d02fa79b8f9cf4994ee5633b/" w:history="1">
        <w:r>
          <w:rPr>
            <w:rStyle w:val="1360"/>
            <w:rFonts w:ascii="Times New Roman" w:hAnsi="Times New Roman" w:cs="Times New Roman"/>
            <w:b w:val="0"/>
          </w:rPr>
          <w:t xml:space="preserve">поста</w:t>
        </w:r>
        <w:r>
          <w:rPr>
            <w:rStyle w:val="1360"/>
            <w:rFonts w:ascii="Times New Roman" w:hAnsi="Times New Roman" w:cs="Times New Roman"/>
            <w:b w:val="0"/>
          </w:rPr>
          <w:t xml:space="preserve">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 запрет закупки работ, услуг, соответственно выполняемых, оказываем</w:t>
      </w:r>
      <w:r>
        <w:rPr>
          <w:rFonts w:ascii="Times New Roman" w:hAnsi="Times New Roman" w:cs="Times New Roman"/>
          <w:b w:val="0"/>
          <w:bCs w:val="0"/>
        </w:rPr>
        <w:t xml:space="preserve">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</w:t>
      </w:r>
      <w:r>
        <w:rPr>
          <w:rFonts w:ascii="Times New Roman" w:hAnsi="Times New Roman" w:cs="Times New Roman"/>
          <w:b w:val="0"/>
          <w:bCs w:val="0"/>
        </w:rPr>
        <w:t xml:space="preserve">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4" w:tooltip="https://www.consultant.ru/document/cons_doc_LAW_494318/92d969e26a4326c5d02fa79b8f9cf4994ee5633b/" w:history="1">
        <w:r>
          <w:rPr>
            <w:rStyle w:val="1360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360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установлено ограничение закуп</w:t>
      </w:r>
      <w:r>
        <w:rPr>
          <w:rFonts w:ascii="Times New Roman" w:hAnsi="Times New Roman" w:cs="Times New Roman"/>
          <w:b w:val="0"/>
          <w:bCs w:val="0"/>
        </w:rPr>
        <w:t xml:space="preserve">ки работ, услуг, соответственно выполняемых, оказываемых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</w:t>
      </w:r>
      <w:r>
        <w:rPr>
          <w:rFonts w:ascii="Times New Roman" w:hAnsi="Times New Roman" w:cs="Times New Roman"/>
          <w:b w:val="0"/>
          <w:bCs w:val="0"/>
        </w:rPr>
        <w:t xml:space="preserve">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bookmarkEnd w:id="110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</w:t>
      </w:r>
      <w:r>
        <w:rPr>
          <w:rFonts w:ascii="Times New Roman" w:hAnsi="Times New Roman" w:cs="Times New Roman"/>
          <w:b w:val="0"/>
          <w:bCs w:val="0"/>
        </w:rPr>
        <w:t xml:space="preserve">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11" w:name="_Toc44"/>
      <w:r>
        <w:rPr>
          <w:sz w:val="24"/>
          <w:szCs w:val="24"/>
        </w:rPr>
        <w:t xml:space="preserve">Закупка продукции с разбиением заказа на лоты</w:t>
      </w:r>
      <w:bookmarkEnd w:id="111"/>
      <w:r/>
      <w:r>
        <w:rPr>
          <w:sz w:val="24"/>
          <w:szCs w:val="24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может подать Заявку на любой лот (закупку), любые несколько лотов или все лоты по собственному выбору. Разбиение на лоты установлен</w:t>
      </w:r>
      <w:r>
        <w:rPr>
          <w:rFonts w:ascii="Times New Roman" w:hAnsi="Times New Roman" w:cs="Times New Roman"/>
          <w:b w:val="0"/>
        </w:rPr>
        <w:t xml:space="preserve">о пункте </w:t>
      </w:r>
      <w:hyperlink w:tooltip="#_Предмет_до" w:anchor="_Предмет_до" w:history="1">
        <w:r>
          <w:rPr>
            <w:rStyle w:val="1360"/>
            <w:rFonts w:ascii="Times New Roman" w:hAnsi="Times New Roman" w:cs="Times New Roman"/>
            <w:b w:val="0"/>
          </w:rPr>
          <w:t xml:space="preserve">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 и части </w:t>
      </w:r>
      <w:hyperlink w:tooltip="#_V._ТЕХНИЧЕ" w:anchor="_V._ТЕХНИЧЕ" w:history="1">
        <w:r>
          <w:rPr>
            <w:rStyle w:val="1360"/>
            <w:rFonts w:ascii="Times New Roman" w:hAnsi="Times New Roman" w:cs="Times New Roman"/>
            <w:b w:val="0"/>
          </w:rPr>
          <w:t xml:space="preserve">IV 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. При этом не допускается разбиение отдельного лота на части, то есть подача </w:t>
      </w:r>
      <w:r>
        <w:rPr>
          <w:rFonts w:ascii="Times New Roman" w:hAnsi="Times New Roman" w:cs="Times New Roman"/>
          <w:b w:val="0"/>
        </w:rPr>
        <w:t xml:space="preserve">заявки на часть лота по отдельным его позициям или на часть объема лота.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лотов, Участник должен отдельно по каждому лоту включить в состав заявки документы и сведения, указанные в пункте </w:t>
      </w:r>
      <w:hyperlink w:tooltip="#_Сведения_и" w:anchor="_Сведения_и" w:history="1">
        <w:r>
          <w:rPr>
            <w:rStyle w:val="1360"/>
            <w:rFonts w:ascii="Times New Roman" w:hAnsi="Times New Roman" w:cs="Times New Roman"/>
            <w:b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42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</w:rPr>
        <w:t xml:space="preserve">Рассмотрение общих частей заявок и ценовых предложений, определение Победителя закупки и подписание Договора будет осуществляться раздельно и независимо по каждому из лотов. По каждому из лотов бу</w:t>
      </w:r>
      <w:r>
        <w:rPr>
          <w:rFonts w:ascii="Times New Roman" w:hAnsi="Times New Roman" w:cs="Times New Roman"/>
          <w:b w:val="0"/>
        </w:rPr>
        <w:t xml:space="preserve">дет определен Победитель закупки с каждым из которых будет заключен отдельный Договор.</w:t>
      </w:r>
      <w:r>
        <w:br w:type="page" w:clear="all"/>
      </w:r>
      <w:r/>
    </w:p>
    <w:p>
      <w:pPr>
        <w:pStyle w:val="1140"/>
        <w:numPr>
          <w:ilvl w:val="0"/>
          <w:numId w:val="4"/>
        </w:numPr>
        <w:ind w:left="0" w:firstLine="567"/>
        <w:spacing w:before="0" w:after="0"/>
        <w:rPr>
          <w:rStyle w:val="1311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12" w:name="_II._ИНФОРМ"/>
      <w:r/>
      <w:bookmarkStart w:id="113" w:name="_РАЗДЕЛ_I_3_ИНФОРМАЦИОННАЯ_КАРТА_КОН"/>
      <w:r/>
      <w:bookmarkStart w:id="114" w:name="_ИНФОРМАЦИОННАЯ_КАРТА_ЗАКУПКИ"/>
      <w:r/>
      <w:bookmarkStart w:id="115" w:name="_Ref119427269"/>
      <w:r/>
      <w:bookmarkStart w:id="116" w:name="_Toc45"/>
      <w:r/>
      <w:bookmarkEnd w:id="112"/>
      <w:r/>
      <w:bookmarkEnd w:id="113"/>
      <w:r/>
      <w:bookmarkEnd w:id="114"/>
      <w:r>
        <w:rPr>
          <w:rStyle w:val="1311"/>
          <w:rFonts w:ascii="Times New Roman" w:hAnsi="Times New Roman" w:cs="Times New Roman"/>
          <w:color w:val="auto"/>
          <w:sz w:val="28"/>
          <w:szCs w:val="28"/>
        </w:rPr>
        <w:t xml:space="preserve">ИНФОРМАЦИОННАЯ КАРТА </w:t>
      </w:r>
      <w:bookmarkEnd w:id="115"/>
      <w:r>
        <w:rPr>
          <w:rStyle w:val="1311"/>
          <w:rFonts w:ascii="Times New Roman" w:hAnsi="Times New Roman" w:cs="Times New Roman"/>
          <w:color w:val="auto"/>
          <w:sz w:val="28"/>
          <w:szCs w:val="28"/>
        </w:rPr>
        <w:t xml:space="preserve">ЗАКУПКИ</w:t>
      </w:r>
      <w:bookmarkEnd w:id="116"/>
      <w:r/>
      <w:r>
        <w:rPr>
          <w:rStyle w:val="1311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данной конкретной закупки, которая уточняет, разъясняет и дополня</w:t>
      </w:r>
      <w:r>
        <w:t xml:space="preserve">ет положения части </w:t>
      </w:r>
      <w:hyperlink w:tooltip="#_ОБЩИЕ_ПОЛОЖЕНИЯ" w:anchor="_ОБЩИЕ_ПОЛОЖЕНИЯ" w:history="1">
        <w:r>
          <w:rPr>
            <w:rStyle w:val="1360"/>
          </w:rPr>
          <w:t xml:space="preserve">«ОБЩИЕ УСЛОВИЯ ПРОВЕДЕНИЯ ЗАКУПКИ»</w:t>
        </w:r>
      </w:hyperlink>
      <w:r>
        <w:t xml:space="preserve">. </w:t>
      </w:r>
      <w:r/>
    </w:p>
    <w:p>
      <w:pPr>
        <w:ind w:firstLine="567"/>
        <w:tabs>
          <w:tab w:val="left" w:pos="567" w:leader="none"/>
        </w:tabs>
      </w:pPr>
      <w:r>
        <w:t xml:space="preserve">При возникновении противоречия между положениями части </w:t>
      </w:r>
      <w:hyperlink w:tooltip="#_ОБЩИЕ_УСЛОВИЯ_ПРОВЕДЕНИЯ" w:anchor="_I._ОБЩИЕ_У" w:history="1">
        <w:r>
          <w:rPr>
            <w:rStyle w:val="1360"/>
          </w:rPr>
          <w:t xml:space="preserve">I «ОБЩИЕ УСЛОВИЯ ПРОВЕД</w:t>
        </w:r>
        <w:r>
          <w:rPr>
            <w:rStyle w:val="1360"/>
          </w:rPr>
          <w:t xml:space="preserve">ЕНИЯ ЗАКУПКИ»</w:t>
        </w:r>
      </w:hyperlink>
      <w:r>
        <w:t xml:space="preserve"> и части </w:t>
      </w:r>
      <w:hyperlink w:tooltip="#_ИНФОРМАЦИОННАЯ_КАРТА_ЗАКУПКИ" w:anchor="_II._ИНФОРМ" w:history="1">
        <w:r>
          <w:rPr>
            <w:rStyle w:val="1360"/>
          </w:rPr>
          <w:t xml:space="preserve">II «ИНФОРМАЦИОННАЯ КАРТА ЗАКУПКИ»</w:t>
        </w:r>
      </w:hyperlink>
      <w:r>
        <w:t xml:space="preserve">, применяются положения Части II.</w:t>
      </w:r>
      <w:r/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135"/>
      </w:tblGrid>
      <w:tr>
        <w:tblPrEx/>
        <w:trPr/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Align w:val="center"/>
            <w:textDirection w:val="lrTb"/>
            <w:noWrap w:val="false"/>
          </w:tcPr>
          <w:p>
            <w:pPr>
              <w:ind w:hanging="13"/>
              <w:jc w:val="center"/>
              <w:spacing w:after="0"/>
              <w:tabs>
                <w:tab w:val="num" w:pos="630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Информация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 w:line="256" w:lineRule="auto"/>
              <w:rPr>
                <w:lang w:eastAsia="en-US"/>
              </w:rPr>
            </w:pPr>
            <w:r/>
            <w:bookmarkStart w:id="117" w:name="Par50"/>
            <w:r>
              <w:rPr>
                <w:lang w:eastAsia="en-US"/>
              </w:rPr>
              <w:t xml:space="preserve">Конкурс в электронной форме.</w:t>
            </w:r>
            <w:bookmarkEnd w:id="117"/>
            <w:r/>
            <w:r>
              <w:rPr>
                <w:lang w:eastAsia="en-US"/>
              </w:rPr>
            </w:r>
          </w:p>
          <w:p>
            <w:pPr>
              <w:spacing w:after="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Номер позиции Плана закупки: 349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8" w:name="_Наименование,_место_нахождения,"/>
            <w:r/>
            <w:bookmarkEnd w:id="11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АО «Россети Янтарь»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Ад</w:t>
            </w:r>
            <w:r>
              <w:rPr>
                <w:b/>
              </w:rPr>
              <w:t xml:space="preserve">рес местонахождения Заказчика: </w:t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236022, г. Калининград, ул. Театральная, д. 34, кабинет 214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Почтовый адрес Заказчика:</w:t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236035, Абонентский ящик № 5065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Контактное лицо:</w:t>
            </w:r>
            <w:r>
              <w:rPr>
                <w:b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 </w:t>
            </w:r>
            <w:r>
              <w:rPr>
                <w:highlight w:val="white"/>
              </w:rPr>
              <w:t xml:space="preserve">Чеголя Алина Валерьевна</w:t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 </w:t>
            </w:r>
            <w:r>
              <w:rPr>
                <w:highlight w:val="white"/>
                <w:lang w:val="en-US"/>
              </w:rPr>
              <w:t xml:space="preserve">8 (4012) 576-234</w:t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 </w:t>
            </w:r>
            <w:hyperlink r:id="rId35" w:tooltip="http://Chegolya-AV@Rosseti-Yantar.ru" w:history="1">
              <w:r>
                <w:rPr>
                  <w:color w:val="0000ff"/>
                  <w:highlight w:val="white"/>
                  <w:u w:val="single"/>
                  <w:lang w:val="en-US"/>
                </w:rPr>
                <w:t xml:space="preserve">Chegolya-AV@Rosseti-Yantar.ru</w:t>
              </w:r>
            </w:hyperlink>
            <w:r>
              <w:rPr>
                <w:b/>
                <w:highlight w:val="white"/>
                <w:lang w:val="en-US"/>
              </w:rPr>
              <w:t xml:space="preserve"> </w:t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Ответственный за заключение договора: </w:t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</w:t>
            </w:r>
            <w:r>
              <w:rPr>
                <w:b/>
              </w:rPr>
              <w:t xml:space="preserve"> </w:t>
            </w:r>
            <w:r>
              <w:t xml:space="preserve">Арефьева Марина Александровна</w:t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 xml:space="preserve">8 (4012) 570-702</w:t>
            </w:r>
            <w:r>
              <w:rPr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</w:t>
            </w:r>
            <w:r>
              <w:rPr>
                <w:lang w:val="en-US"/>
              </w:rPr>
              <w:t xml:space="preserve"> </w:t>
            </w:r>
            <w:hyperlink r:id="rId36" w:tooltip="http://Arefeva-MA@Rosseti-Yantar.Ru" w:history="1">
              <w:r>
                <w:rPr>
                  <w:rStyle w:val="1360"/>
                  <w:lang w:val="en-US"/>
                </w:rPr>
                <w:t xml:space="preserve">Arefeva-MA@Rosseti-Yantar.Ru</w:t>
              </w:r>
            </w:hyperlink>
            <w:r/>
            <w:r>
              <w:rPr>
                <w:b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9" w:name="_Предмет_до"/>
            <w:r/>
            <w:bookmarkStart w:id="120" w:name="_Предмет_договора_с"/>
            <w:r/>
            <w:bookmarkEnd w:id="119"/>
            <w:r/>
            <w:bookmarkEnd w:id="12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исание предмета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b/>
              </w:rPr>
              <w:t xml:space="preserve">Предмет 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highlight w:val="white"/>
                <w:lang w:eastAsia="en-US"/>
              </w:rPr>
              <w:t xml:space="preserve">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1.1.17р).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Количество пос</w:t>
            </w:r>
            <w:r>
              <w:t xml:space="preserve">тавляемого товара/объем выполняемой работы/объем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1360"/>
                </w:rPr>
                <w:t xml:space="preserve">V «ТЕХНИЧЕСКАЯ ЧАСТЬ»</w:t>
              </w:r>
            </w:hyperlink>
            <w:r>
              <w:t xml:space="preserve"> документаци</w:t>
            </w:r>
            <w:r>
              <w:t xml:space="preserve">и о закупке. Все указания в настоящей документации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1" w:name="_Место_поставки_товара/"/>
            <w:r/>
            <w:bookmarkEnd w:id="12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товара/ выполнения работы/ оказания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360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360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2" w:name="_Сроки_поставки_товара/"/>
            <w:r/>
            <w:bookmarkEnd w:id="12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поставки товара/ выполнения работ/оказания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360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360"/>
                </w:rPr>
                <w:t xml:space="preserve">V «ТЕХНИЧЕСКАЯ ЧАСТЬ»</w:t>
              </w:r>
            </w:hyperlink>
            <w:r>
              <w:t xml:space="preserve"> настоящей документации о за</w:t>
            </w:r>
            <w:r>
              <w:t xml:space="preserve">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3" w:name="_Форма,_сроки_и"/>
            <w:r/>
            <w:bookmarkEnd w:id="123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1360"/>
                </w:rPr>
                <w:t xml:space="preserve">IV «ПРОЕКТ 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4" w:name="_Сведения_о"/>
            <w:r/>
            <w:bookmarkStart w:id="125" w:name="_Сведения_о_начальной"/>
            <w:r/>
            <w:bookmarkEnd w:id="124"/>
            <w:r/>
            <w:bookmarkEnd w:id="125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1360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contextualSpacing/>
              <w:spacing w:before="120"/>
              <w:tabs>
                <w:tab w:val="left" w:pos="2977" w:leader="none"/>
                <w:tab w:val="left" w:pos="3544" w:leader="none"/>
              </w:tabs>
              <w:rPr>
                <w:lang w:eastAsia="ar-SA"/>
              </w:rPr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50 000 000 (Пятьдесят миллионов</w:t>
            </w:r>
            <w:r>
              <w:rPr>
                <w:bCs/>
                <w:lang w:eastAsia="ar-SA"/>
              </w:rPr>
              <w:t xml:space="preserve">) рублей 00 копеек (без учета НДС)</w:t>
            </w:r>
            <w:r>
              <w:rPr>
                <w:lang w:eastAsia="ar-SA"/>
              </w:rPr>
              <w:t xml:space="preserve">,</w:t>
            </w:r>
            <w:r>
              <w:rPr>
                <w:lang w:eastAsia="ar-SA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кроме того, НДС размере 22% – 11 000 000 (Одиннадцать миллионов) рублей 00 копеек.</w:t>
            </w:r>
            <w:r>
              <w:rPr>
                <w:lang w:eastAsia="ar-SA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>
              <w:rPr>
                <w:lang w:eastAsia="zh-CN"/>
              </w:rPr>
              <w:t xml:space="preserve">Начальная (максим</w:t>
            </w:r>
            <w:r>
              <w:rPr>
                <w:lang w:eastAsia="zh-CN"/>
              </w:rPr>
              <w:t xml:space="preserve">альная) цена договора (цена лота) с учетом НДС</w:t>
            </w:r>
            <w:r>
              <w:rPr>
                <w:bCs/>
                <w:lang w:eastAsia="ar-SA"/>
              </w:rPr>
              <w:t xml:space="preserve"> составляет 61 000 000 (Шестьдесят один миллион) рублей 00 копеек</w:t>
            </w:r>
            <w:r>
              <w:t xml:space="preserve">.</w:t>
            </w:r>
            <w:r/>
          </w:p>
          <w:p>
            <w:pPr>
              <w:spacing w:before="60"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 с примене</w:t>
            </w:r>
            <w:r>
              <w:rPr>
                <w:shd w:val="clear" w:color="auto" w:fill="ffffff" w:themeFill="background1"/>
              </w:rPr>
              <w:t xml:space="preserve">нием </w:t>
            </w:r>
            <w:r>
              <w:rPr>
                <w:b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shd w:val="clear" w:color="auto" w:fill="ffffff" w:themeFill="background1"/>
              </w:rPr>
              <w:t xml:space="preserve"> к стоимости. </w:t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коэффициента тендерного снижения, в соответствии с Прил</w:t>
            </w:r>
            <w:r>
              <w:rPr>
                <w:b/>
                <w:color w:val="ff0000"/>
                <w:u w:val="single"/>
              </w:rPr>
              <w:t xml:space="preserve">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</w:p>
          <w:p>
            <w:pPr>
              <w:spacing w:after="0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видом и объемом работ, </w:t>
            </w:r>
            <w:r>
              <w:rPr>
                <w:shd w:val="clear" w:color="auto" w:fill="ffffff" w:themeFill="background1"/>
              </w:rPr>
              <w:t xml:space="preserve">но не более цены Заявки, </w:t>
            </w:r>
            <w:r>
              <w:rPr>
                <w:shd w:val="clear" w:color="auto" w:fill="ffffff" w:themeFill="background1"/>
              </w:rPr>
              <w:t xml:space="preserve">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Заявки включает в себя стоимость</w:t>
            </w:r>
            <w:r>
              <w:rPr>
                <w:shd w:val="clear" w:color="auto" w:fill="ffffff" w:themeFill="background1"/>
              </w:rPr>
              <w:t xml:space="preserve">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hd w:val="clear" w:color="auto" w:fill="ffffff" w:themeFill="background1"/>
              </w:rPr>
              <w:t xml:space="preserve">Начальная (максимальная) цена рамочного договора включает в себ</w:t>
            </w:r>
            <w:r>
              <w:rPr>
                <w:rFonts w:eastAsia="Calibri"/>
                <w:shd w:val="clear" w:color="auto" w:fill="ffffff" w:themeFill="background1"/>
              </w:rPr>
              <w:t xml:space="preserve">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</w:t>
            </w:r>
            <w:r>
              <w:rPr>
                <w:rFonts w:eastAsia="Calibri"/>
                <w:shd w:val="clear" w:color="auto" w:fill="ffffff" w:themeFill="background1"/>
              </w:rPr>
              <w:t xml:space="preserve">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 предоставления документации о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142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Документация о закупк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Единой информационной системы в сфере закупок (далее ЕИС) (</w:t>
            </w:r>
            <w:hyperlink r:id="rId37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1360"/>
                  <w:rFonts w:ascii="Times New Roman" w:hAnsi="Times New Roman" w:cs="Times New Roman"/>
                  <w:b w:val="0"/>
                  <w:bCs w:val="0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6" w:name="_Порядок,_д"/>
            <w:r/>
            <w:bookmarkStart w:id="127" w:name="_Порядок,_дата_начала,"/>
            <w:r/>
            <w:bookmarkEnd w:id="126"/>
            <w:r/>
            <w:bookmarkEnd w:id="12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8" w:name="_Дата_рассмотрения_предложений"/>
            <w:r/>
            <w:bookmarkEnd w:id="12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Дата рассмотрения предложен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53"/>
              <w:ind w:left="0"/>
              <w:jc w:val="both"/>
            </w:pPr>
            <w:r>
              <w:t xml:space="preserve">Применяются следующие этапы:</w:t>
            </w:r>
            <w:r/>
          </w:p>
          <w:p>
            <w:pPr>
              <w:pStyle w:val="1453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</w:p>
          <w:p>
            <w:pPr>
              <w:pStyle w:val="1453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</w:p>
          <w:p>
            <w:pPr>
              <w:pStyle w:val="1453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</w:p>
          <w:p>
            <w:pPr>
              <w:pStyle w:val="1469"/>
            </w:pPr>
            <w:r/>
            <w:r/>
          </w:p>
          <w:p>
            <w:pPr>
              <w:pStyle w:val="1469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1469"/>
              <w:jc w:val="both"/>
            </w:pPr>
            <w:r/>
            <w:r/>
          </w:p>
          <w:p>
            <w:pPr>
              <w:pStyle w:val="1469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«04</w:t>
            </w:r>
            <w:r>
              <w:t xml:space="preserve">» июня 2026 года;</w:t>
            </w:r>
            <w:r/>
          </w:p>
          <w:p>
            <w:pPr>
              <w:pStyle w:val="1469"/>
              <w:jc w:val="both"/>
            </w:pPr>
            <w:r/>
            <w:r/>
          </w:p>
          <w:p>
            <w:pPr>
              <w:pStyle w:val="1469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разъясне</w:t>
            </w:r>
            <w:r>
              <w:rPr>
                <w:b/>
              </w:rPr>
              <w:t xml:space="preserve">ний положений документации о закупке:</w:t>
            </w:r>
            <w:r>
              <w:rPr>
                <w:b/>
                <w:bCs/>
              </w:rPr>
            </w:r>
          </w:p>
          <w:p>
            <w:pPr>
              <w:pStyle w:val="1469"/>
              <w:jc w:val="both"/>
              <w:rPr>
                <w:highlight w:val="white"/>
              </w:rPr>
            </w:pPr>
            <w:r>
              <w:t xml:space="preserve">«22</w:t>
            </w:r>
            <w:r>
              <w:t xml:space="preserve">» июня 2026 го</w:t>
            </w:r>
            <w:r>
              <w:rPr>
                <w:highlight w:val="white"/>
              </w:rPr>
              <w:t xml:space="preserve">да 13:3</w:t>
            </w:r>
            <w:r>
              <w:rPr>
                <w:highlight w:val="white"/>
              </w:rPr>
              <w:t xml:space="preserve">0 (МСК-1)</w:t>
            </w:r>
            <w:r>
              <w:rPr>
                <w:highlight w:val="white"/>
              </w:rPr>
            </w:r>
          </w:p>
          <w:p>
            <w:pPr>
              <w:pStyle w:val="1469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469"/>
              <w:jc w:val="both"/>
            </w:pPr>
            <w:r>
              <w:rPr>
                <w:b/>
              </w:rPr>
              <w:t xml:space="preserve">Дата и время окончания срока, последний день срока подачи Заявок</w:t>
            </w:r>
            <w:r>
              <w:t xml:space="preserve">:</w:t>
            </w:r>
            <w:r/>
          </w:p>
          <w:p>
            <w:pPr>
              <w:pStyle w:val="1469"/>
              <w:jc w:val="both"/>
              <w:rPr>
                <w:highlight w:val="white"/>
              </w:rPr>
            </w:pPr>
            <w:r>
              <w:t xml:space="preserve">«22</w:t>
            </w:r>
            <w:r>
              <w:t xml:space="preserve">» июня 2026 го</w:t>
            </w:r>
            <w:r>
              <w:rPr>
                <w:highlight w:val="white"/>
              </w:rPr>
              <w:t xml:space="preserve">да 14:3</w:t>
            </w:r>
            <w:bookmarkStart w:id="129" w:name="_GoBack"/>
            <w:r/>
            <w:bookmarkEnd w:id="129"/>
            <w:r>
              <w:rPr>
                <w:highlight w:val="white"/>
              </w:rPr>
              <w:t xml:space="preserve">0 (МСК-1)</w:t>
            </w:r>
            <w:r>
              <w:rPr>
                <w:highlight w:val="white"/>
              </w:rPr>
            </w:r>
          </w:p>
          <w:p>
            <w:pPr>
              <w:pStyle w:val="1469"/>
              <w:jc w:val="both"/>
            </w:pPr>
            <w:r/>
            <w:r/>
          </w:p>
          <w:p>
            <w:pPr>
              <w:pStyle w:val="1469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</w:p>
          <w:p>
            <w:pPr>
              <w:pStyle w:val="1469"/>
              <w:jc w:val="both"/>
            </w:pPr>
            <w:r>
              <w:t xml:space="preserve">Дата начала проведения этапа: с момента с моме</w:t>
            </w:r>
            <w:r>
              <w:t xml:space="preserve">нта направления оператором ЭТП заказчику общих частей заявок</w:t>
            </w:r>
            <w:r/>
          </w:p>
          <w:p>
            <w:pPr>
              <w:pStyle w:val="1469"/>
              <w:jc w:val="both"/>
            </w:pPr>
            <w:r>
              <w:t xml:space="preserve">Дата проведения этапа: «10</w:t>
            </w:r>
            <w:r>
              <w:t xml:space="preserve">» июля 2026 года.</w:t>
            </w:r>
            <w:r/>
          </w:p>
          <w:p>
            <w:pPr>
              <w:pStyle w:val="1469"/>
              <w:jc w:val="both"/>
            </w:pPr>
            <w:r/>
            <w:r/>
          </w:p>
          <w:p>
            <w:pPr>
              <w:pStyle w:val="1469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(трех) часов.</w:t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</w:p>
          <w:p>
            <w:pPr>
              <w:pStyle w:val="1469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1469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1469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</w:p>
          <w:p>
            <w:pPr>
              <w:pStyle w:val="1469"/>
              <w:jc w:val="both"/>
            </w:pPr>
            <w:r>
              <w:t xml:space="preserve">Дата проведения этапа: «17</w:t>
            </w:r>
            <w:r>
              <w:t xml:space="preserve">» июля 2026 года.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0" w:name="_Адрес_элек"/>
            <w:r/>
            <w:bookmarkStart w:id="131" w:name="_Адрес_электронной_площадки"/>
            <w:r/>
            <w:bookmarkEnd w:id="130"/>
            <w:r/>
            <w:bookmarkEnd w:id="13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</w:p>
          <w:p>
            <w:pPr>
              <w:spacing w:after="0"/>
              <w:rPr>
                <w:b/>
              </w:rPr>
            </w:pPr>
            <w:r/>
            <w:hyperlink r:id="rId38" w:tooltip="https://tender.lot-online.ru" w:history="1">
              <w:r>
                <w:rPr>
                  <w:rStyle w:val="1360"/>
                </w:rPr>
                <w:t xml:space="preserve">https://tender.lot-online.ru</w:t>
              </w:r>
            </w:hyperlink>
            <w:r/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white"/>
              </w:rPr>
            </w:pPr>
            <w:r/>
            <w:bookmarkStart w:id="132" w:name="_Размер_обе"/>
            <w:r/>
            <w:bookmarkStart w:id="133" w:name="_Размер_обеспечения_заявок"/>
            <w:r/>
            <w:bookmarkEnd w:id="132"/>
            <w:r/>
            <w:bookmarkEnd w:id="133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Установлено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заявки предусмотрена в размере 2% от началь</w:t>
            </w:r>
            <w:r>
              <w:rPr>
                <w:highlight w:val="white"/>
              </w:rPr>
              <w:t xml:space="preserve">ной (максимальной) цены договора, что составляет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Cs/>
                <w:highlight w:val="white"/>
              </w:rPr>
              <w:t xml:space="preserve">1 220 000 (Один миллион двести двадцать тысяч) рублей 00 копеек</w:t>
            </w:r>
            <w:r>
              <w:rPr>
                <w:highlight w:val="white"/>
              </w:rPr>
              <w:t xml:space="preserve">, НДС не облагается.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white"/>
              </w:rPr>
              <w:t xml:space="preserve">Лицевой счет участника закупки, открытый о</w:t>
            </w:r>
            <w:r>
              <w:rPr>
                <w:highlight w:val="white"/>
              </w:rPr>
              <w:t xml:space="preserve">ператором электронной площадки в соответствии с правилами, установленными Регламентом работы ЭТП</w:t>
            </w:r>
            <w:r>
              <w:rPr>
                <w:bCs/>
                <w:highlight w:val="whit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spacing w:after="0"/>
              <w:rPr>
                <w:bCs/>
                <w:highlight w:val="white"/>
              </w:rPr>
            </w:pPr>
            <w:r>
              <w:rPr>
                <w:highlight w:val="white"/>
              </w:rPr>
              <w:t xml:space="preserve">Порядок и случаи бло</w:t>
            </w:r>
            <w:r>
              <w:rPr>
                <w:highlight w:val="white"/>
              </w:rPr>
              <w:t xml:space="preserve">кирования денежных средств, внесенных участниками закупки в целях обеспечения заявок на участие в закупке, </w:t>
            </w:r>
            <w:r>
              <w:rPr>
                <w:highlight w:val="white"/>
              </w:rPr>
              <w:t xml:space="preserve">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</w:t>
            </w:r>
            <w:r>
              <w:rPr>
                <w:highlight w:val="white"/>
              </w:rPr>
              <w:t xml:space="preserve">ТП</w:t>
            </w:r>
            <w:r>
              <w:rPr>
                <w:bCs/>
                <w:highlight w:val="white"/>
              </w:rPr>
              <w:t xml:space="preserve">.</w:t>
            </w:r>
            <w:r>
              <w:rPr>
                <w:bCs/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rStyle w:val="1360"/>
                <w:highlight w:val="white"/>
              </w:rPr>
            </w:pPr>
            <w:r>
              <w:rPr>
                <w:bCs/>
                <w:highlight w:val="white"/>
              </w:rPr>
              <w:t xml:space="preserve">Требования к такому обеспечению, в том числе условия независимой гарантии установлены в пункте </w:t>
            </w:r>
            <w:hyperlink w:tooltip="#_Требования_к_обеспечению" w:anchor="_3.6._Требо" w:history="1">
              <w:r>
                <w:rPr>
                  <w:rStyle w:val="1360"/>
                  <w:highlight w:val="whit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rStyle w:val="136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4" w:name="_Информация"/>
            <w:r/>
            <w:bookmarkStart w:id="135" w:name="_Сведения_о_предоставлении"/>
            <w:r/>
            <w:bookmarkEnd w:id="134"/>
            <w:r/>
            <w:bookmarkEnd w:id="13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 или ограничения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РФ от 23.12.2024 № 1875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t xml:space="preserve">Не установлено.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</w:t>
            </w:r>
            <w:r>
              <w:t xml:space="preserve">закупки.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6" w:name="_Единые_требования_к"/>
            <w:r/>
            <w:bookmarkStart w:id="137" w:name="Par55"/>
            <w:r/>
            <w:bookmarkEnd w:id="136"/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Единые требования к участникам закупки</w:t>
            </w:r>
            <w:bookmarkEnd w:id="137"/>
            <w:r/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53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должен обладать гражданской правоспособностью в полном объеме для заключения и исполнения Договора;</w:t>
            </w:r>
            <w:r/>
          </w:p>
          <w:p>
            <w:pPr>
              <w:pStyle w:val="1453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не должен являться неплатежеспособным или банкротом, должно отсутствовать вступившее в законную силу решен</w:t>
            </w:r>
            <w:r>
              <w:t xml:space="preserve">ие арбитражного суда об открытии конкурсного производства, не должен находиться в процессе ликвидации, на имущество Участника не должен быть наложен арест, экономическая деятельность Участника не должна быть приостановлена;</w:t>
            </w:r>
            <w:r/>
          </w:p>
          <w:p>
            <w:pPr>
              <w:pStyle w:val="1453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rPr>
                <w:bCs/>
              </w:rPr>
              <w:t xml:space="preserve">должна отсутствовать недоимка по</w:t>
            </w:r>
            <w:r>
              <w:rPr>
                <w:bCs/>
              </w:rPr>
              <w:t xml:space="preserve"> налогам, сборам, задолженность по иным обязательным платежам в бюджеты бюджетной системы Российской Федерации за прошедший </w:t>
            </w:r>
            <w:r>
              <w:rPr>
                <w:bCs/>
              </w:rPr>
              <w:t xml:space="preserve">календарный год, размер которых превышает двадцать пять процентов балансовой стоимости активов Участника, по данным бухгалтерской от</w:t>
            </w:r>
            <w:r>
              <w:rPr>
                <w:bCs/>
              </w:rPr>
              <w:t xml:space="preserve">четности за последний отчетный период;</w:t>
            </w:r>
            <w:r/>
          </w:p>
          <w:p>
            <w:pPr>
              <w:pStyle w:val="1453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color w:val="000000" w:themeColor="text1"/>
              </w:rPr>
            </w:pPr>
            <w:r>
              <w:rPr>
                <w:lang w:eastAsia="zh-CN"/>
              </w:rPr>
              <w:t xml:space="preserve"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должно отсутствовать административное наказание в виде дисквалифик</w:t>
            </w:r>
            <w:r>
              <w:rPr>
                <w:lang w:eastAsia="zh-CN"/>
              </w:rPr>
              <w:t xml:space="preserve">ации. Должны отсутствовать сведения об участнике закупки в реестре розыска по исполнительным производствам на электронном портале </w:t>
            </w:r>
            <w:hyperlink r:id="rId39" w:tooltip="http://fssprus.ru/" w:history="1">
              <w:r>
                <w:rPr>
                  <w:rStyle w:val="1360"/>
                  <w:lang w:eastAsia="zh-CN"/>
                </w:rPr>
                <w:t xml:space="preserve">http://fssprus.ru/</w:t>
              </w:r>
            </w:hyperlink>
            <w:r>
              <w:rPr>
                <w:color w:val="000000" w:themeColor="text1"/>
              </w:rPr>
              <w:t xml:space="preserve">;</w:t>
            </w:r>
            <w:r>
              <w:rPr>
                <w:color w:val="000000" w:themeColor="text1"/>
              </w:rPr>
            </w:r>
          </w:p>
          <w:p>
            <w:pPr>
              <w:pStyle w:val="1453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в течение двух лет до момента подачи заявки на </w:t>
            </w:r>
            <w:r>
              <w:t xml:space="preserve">участие в закупке, участник закупки не должен иметь фактов привлечения к административной ответственности за совершение административного правонарушения, предусмотренного </w:t>
            </w:r>
            <w:hyperlink r:id="rId40" w:tooltip="http://www.consultant.ru/document/cons_doc_LAW_34661/f61ff313afecf81a91a43d729c2df55c1d6a1533/" w:history="1">
              <w:r>
                <w:rPr>
                  <w:rStyle w:val="1360"/>
                </w:rPr>
                <w:t xml:space="preserve">статьей 19.28</w:t>
              </w:r>
            </w:hyperlink>
            <w:r>
              <w:t xml:space="preserve"> Кодекса Российской Федерации об административных правонарушениях;</w:t>
            </w:r>
            <w:r/>
          </w:p>
          <w:p>
            <w:pPr>
              <w:pStyle w:val="1453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1" w:tooltip="https://zakupki.gov.ru/epz/dishonestsupplier/search/results.html" w:history="1">
              <w:r>
                <w:rPr>
                  <w:rStyle w:val="1360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2" w:tooltip="https://www.consultant.ru/document/cons_doc_LAW_116964/a3b63487ad7d07ce045a07b0f1e7a9d9b064de95/?ysclid=lgq77170fl163638946" w:history="1">
              <w:r>
                <w:rPr>
                  <w:rStyle w:val="1360"/>
                </w:rPr>
                <w:t xml:space="preserve">Федеральным законом от 18.07.2011 № </w:t>
              </w:r>
              <w:r>
                <w:rPr>
                  <w:rStyle w:val="1360"/>
                </w:rPr>
                <w:t xml:space="preserve">223-ФЗ «О закупках товаров, работ, услуг отдельными видами юридических лиц»</w:t>
              </w:r>
            </w:hyperlink>
            <w:r>
              <w:t xml:space="preserve">;</w:t>
            </w:r>
            <w:r/>
          </w:p>
          <w:p>
            <w:pPr>
              <w:pStyle w:val="1453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3" w:tooltip="https://zakupki.gov.ru/epz/dishonestsupplier/search/results.html" w:history="1">
              <w:r>
                <w:rPr>
                  <w:rStyle w:val="1360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4" w:tooltip="https://www.consultant.ru/document/cons_doc_LAW_144624/af90cad46f4484d18fa490ef1c9d7a3b2fd3be3b/" w:history="1">
              <w:r>
                <w:rPr>
                  <w:rStyle w:val="1360"/>
                </w:rPr>
                <w:t xml:space="preserve">Федеральным законом от 05.04.2013 N 44-ФЗ «О контрактной системе в сфере заку</w:t>
              </w:r>
              <w:r>
                <w:rPr>
                  <w:rStyle w:val="1360"/>
                </w:rPr>
                <w:t xml:space="preserve">пок товаров, работ, услуг для обеспечения государственных и муниципальных нужд»</w:t>
              </w:r>
            </w:hyperlink>
            <w:r>
              <w:t xml:space="preserve">;</w:t>
            </w:r>
            <w:r/>
          </w:p>
          <w:p>
            <w:pPr>
              <w:pStyle w:val="1453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    отсутствие сведений об Участнике в </w:t>
            </w:r>
            <w:hyperlink r:id="rId45" w:tooltip="https://minjust.gov.ru/ru/activity/directions/998/" w:history="1">
              <w:r>
                <w:rPr>
                  <w:rStyle w:val="1360"/>
                </w:rPr>
                <w:t xml:space="preserve">Реестре</w:t>
              </w:r>
            </w:hyperlink>
            <w:r>
              <w:t xml:space="preserve"> иност</w:t>
            </w:r>
            <w:r>
              <w:t xml:space="preserve">ранных агентов, размещенном на официальном сайте уполномоченного органа в информационно-телекоммуникационной сети «Интернет», который ведется в соответствии с </w:t>
            </w:r>
            <w:hyperlink r:id="rId46" w:tooltip="https://www.consultant.ru/document/cons_doc_LAW_421788/?ysclid=lg20fc4h7v470804950" w:history="1">
              <w:r>
                <w:rPr>
                  <w:rStyle w:val="1360"/>
                </w:rPr>
                <w:t xml:space="preserve">Федеральным законом от 14 июля 2022 года N 255-ФЗ «О контроле за деятельностью лиц, находящихся под иностранным влиянием»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8" w:name="_Требования,_установленные_в"/>
            <w:r/>
            <w:bookmarkEnd w:id="138"/>
            <w:r>
              <w:rPr>
                <w:rFonts w:ascii="Times New Roman" w:hAnsi="Times New Roman" w:cs="Times New Roman"/>
                <w:b w:val="0"/>
                <w:bCs w:val="0"/>
              </w:rPr>
              <w:t xml:space="preserve">Требования, установленные в соответствии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contextualSpacing/>
              <w:tabs>
                <w:tab w:val="left" w:pos="459" w:leader="none"/>
              </w:tabs>
              <w:rPr>
                <w:highlight w:val="white"/>
              </w:rPr>
            </w:pPr>
            <w:r>
              <w:rPr>
                <w:b/>
                <w:bCs/>
                <w:highlight w:val="white"/>
                <w:lang w:eastAsia="en-US"/>
              </w:rPr>
              <w:t xml:space="preserve">Установлены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contextualSpacing/>
              <w:tabs>
                <w:tab w:val="left" w:pos="459" w:leader="none"/>
              </w:tabs>
            </w:pPr>
            <w:r/>
            <w:r/>
          </w:p>
          <w:p>
            <w:pPr>
              <w:pStyle w:val="1453"/>
              <w:numPr>
                <w:ilvl w:val="1"/>
                <w:numId w:val="29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Участник должен быть членом саморегулируемой организации:</w:t>
            </w:r>
            <w:r>
              <w:rPr>
                <w:highlight w:val="white"/>
              </w:rPr>
            </w:r>
          </w:p>
          <w:p>
            <w:pPr>
              <w:pStyle w:val="1453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инженерных изысканий</w:t>
            </w:r>
            <w:r>
              <w:rPr>
                <w:highlight w:val="white"/>
              </w:rPr>
              <w:t xml:space="preserve"> (не требуется членство в саморегулируемых организациях в области инженерных изысканий в случаях, которые перечислены в части </w:t>
            </w:r>
            <w:hyperlink r:id="rId47" w:tooltip="https://www.consultant.ru/document/cons_doc_LAW_51040/f651879e0acd4680a6fdc29f983536624055cbcc/?ysclid=lh7dhcp1aq961991988#dst1676" w:anchor="dst1676" w:history="1">
              <w:r>
                <w:rPr>
                  <w:rStyle w:val="1360"/>
                  <w:highlight w:val="white"/>
                </w:rPr>
                <w:t xml:space="preserve">2.1 статьи 47 Градостроительного кодекса </w:t>
              </w:r>
              <w:r>
                <w:rPr>
                  <w:rStyle w:val="1360"/>
                  <w:highlight w:val="white"/>
                </w:rPr>
                <w:t xml:space="preserve">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</w:t>
            </w:r>
            <w:r>
              <w:rPr>
                <w:highlight w:val="white"/>
              </w:rPr>
              <w:t xml:space="preserve">ммуникационной сети «Интернет», на которых размещены эти информация и документы: </w:t>
            </w:r>
            <w:hyperlink r:id="rId48" w:tooltip="https://nopriz.ru/" w:history="1">
              <w:r>
                <w:rPr>
                  <w:rStyle w:val="1360"/>
                  <w:highlight w:val="white"/>
                </w:rPr>
                <w:t xml:space="preserve">https://nopriz.ru/</w:t>
              </w:r>
            </w:hyperlink>
            <w:r>
              <w:rPr>
                <w:highlight w:val="white"/>
              </w:rPr>
              <w:t xml:space="preserve">;</w:t>
            </w:r>
            <w:r>
              <w:rPr>
                <w:i/>
                <w:highlight w:val="white"/>
              </w:rPr>
            </w:r>
          </w:p>
          <w:p>
            <w:pPr>
              <w:pStyle w:val="1453"/>
              <w:numPr>
                <w:ilvl w:val="0"/>
                <w:numId w:val="30"/>
              </w:numPr>
              <w:ind w:left="0" w:firstLine="283"/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проектирования</w:t>
            </w:r>
            <w:r>
              <w:rPr>
                <w:highlight w:val="white"/>
              </w:rPr>
              <w:t xml:space="preserve"> (не требуется членство в саморегулируемых организациях в области архите</w:t>
            </w:r>
            <w:r>
              <w:rPr>
                <w:highlight w:val="white"/>
              </w:rPr>
              <w:t xml:space="preserve">ктурно-строительного проектирования в случаях, которые перечислены в </w:t>
            </w:r>
            <w:hyperlink r:id="rId49" w:tooltip="https://www.consultant.ru/document/cons_doc_LAW_51040/b884020ea7453099ba8bc9ca021b84982cadea7d/?ysclid=lh7dkmbcyr186717647#dst1683" w:anchor="dst1683" w:history="1">
              <w:r>
                <w:rPr>
                  <w:rStyle w:val="1360"/>
                  <w:highlight w:val="white"/>
                </w:rPr>
                <w:t xml:space="preserve">части 4.1 статьи 48 Градостроительного кодекса 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информационно-телекоммуникационной сети «Интернет», на которых размещен</w:t>
            </w:r>
            <w:r>
              <w:rPr>
                <w:highlight w:val="white"/>
              </w:rPr>
              <w:t xml:space="preserve">ы эти информация и документы: </w:t>
            </w:r>
            <w:hyperlink r:id="rId50" w:tooltip="https://nopriz.ru/" w:history="1">
              <w:r>
                <w:rPr>
                  <w:rStyle w:val="1360"/>
                  <w:highlight w:val="white"/>
                </w:rPr>
                <w:t xml:space="preserve">https://nopriz.ru/</w:t>
              </w:r>
            </w:hyperlink>
            <w:r>
              <w:rPr>
                <w:highlight w:val="white"/>
              </w:rPr>
              <w:t xml:space="preserve">)</w:t>
            </w:r>
            <w:r>
              <w:rPr>
                <w:highlight w:val="white"/>
              </w:rPr>
            </w:r>
          </w:p>
          <w:p>
            <w:pPr>
              <w:pStyle w:val="1453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строительства, реконструкции, капитального ремонта объектов капитального строительства</w:t>
            </w:r>
            <w:r>
              <w:rPr>
                <w:highlight w:val="white"/>
              </w:rPr>
              <w:t xml:space="preserve"> (не требуется членство в саморегулируемых организа</w:t>
            </w:r>
            <w:r>
              <w:rPr>
                <w:highlight w:val="white"/>
              </w:rPr>
              <w:t xml:space="preserve">циях в области строительства, реконструкции, капитального ремонта в случаях, которые перечислены в </w:t>
            </w:r>
            <w:hyperlink r:id="rId51" w:tooltip="https://www.consultant.ru/document/cons_doc_LAW_51040/df32b8231cf067c4d4e864c717eb6b398358b504/?ysclid=lh7dmiyi73943741650#dst1696" w:anchor="dst1696" w:history="1">
              <w:r>
                <w:rPr>
                  <w:rStyle w:val="1360"/>
                  <w:highlight w:val="white"/>
                </w:rPr>
                <w:t xml:space="preserve">части 2.1 и в части 2.2 статьи 52 Градостроительного кодекса 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информационно-телекоммуника</w:t>
            </w:r>
            <w:r>
              <w:rPr>
                <w:highlight w:val="white"/>
              </w:rPr>
              <w:t xml:space="preserve">ционной сети «Интернет», на которых размещены эти информация и документы: </w:t>
            </w:r>
            <w:hyperlink r:id="rId52" w:tooltip="https://nostroy.ru/" w:history="1">
              <w:r>
                <w:rPr>
                  <w:rStyle w:val="1360"/>
                  <w:highlight w:val="white"/>
                </w:rPr>
                <w:t xml:space="preserve">https://nostroy.ru/</w:t>
              </w:r>
            </w:hyperlink>
            <w:r>
              <w:rPr>
                <w:i/>
                <w:highlight w:val="white"/>
              </w:rPr>
              <w:t xml:space="preserve">.</w:t>
            </w:r>
            <w:r>
              <w:rPr>
                <w:i/>
                <w:highlight w:val="white"/>
              </w:rPr>
            </w:r>
          </w:p>
          <w:p>
            <w:pPr>
              <w:pStyle w:val="1453"/>
              <w:ind w:left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Участник закупки, должен иметь право выполнять работы в отношении объектов капитального строительств</w:t>
            </w:r>
            <w:r>
              <w:rPr>
                <w:highlight w:val="white"/>
              </w:rPr>
              <w:t xml:space="preserve">а (кроме особо опасных, технически сложных и уникальных объектов, а также объектов использования атомной энергии).</w:t>
            </w:r>
            <w:r>
              <w:rPr>
                <w:highlight w:val="white"/>
              </w:rPr>
            </w:r>
          </w:p>
          <w:p>
            <w:pPr>
              <w:pStyle w:val="1453"/>
              <w:ind w:left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Саморегулируемая организация, в которой состоит участник, должна иметь компенсационный фонд обеспечения договорных обязательств.</w:t>
            </w:r>
            <w:r>
              <w:rPr>
                <w:highlight w:val="white"/>
              </w:rPr>
            </w:r>
          </w:p>
          <w:p>
            <w:pPr>
              <w:spacing w:after="0"/>
              <w:shd w:val="clear" w:color="auto" w:fill="ffffff"/>
              <w:rPr>
                <w:highlight w:val="white"/>
              </w:rPr>
            </w:pPr>
            <w:r>
              <w:rPr>
                <w:highlight w:val="white"/>
              </w:rPr>
              <w:t xml:space="preserve">Совокупный р</w:t>
            </w:r>
            <w:r>
              <w:rPr>
                <w:highlight w:val="white"/>
              </w:rPr>
              <w:t xml:space="preserve">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453"/>
              <w:contextualSpacing/>
              <w:ind w:left="0"/>
              <w:jc w:val="both"/>
              <w:tabs>
                <w:tab w:val="left" w:pos="351" w:leader="none"/>
              </w:tabs>
            </w:pPr>
            <w:r/>
            <w:bookmarkStart w:id="139" w:name="_Квалификационные_требования_к"/>
            <w:r/>
            <w:bookmarkStart w:id="140" w:name="Par56"/>
            <w:r/>
            <w:bookmarkEnd w:id="139"/>
            <w:r>
              <w:t xml:space="preserve">Иные отборочные критерии, установленные в соответствии </w:t>
            </w:r>
            <w:bookmarkEnd w:id="140"/>
            <w:r>
              <w:t xml:space="preserve">с   Приложением 1 к «Типовым требованиям к участникам закупок, критериям и порядку оценки заявок участников закупок» Единого стандарта ПАО «Россети»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contextualSpacing/>
              <w:tabs>
                <w:tab w:val="left" w:pos="459" w:leader="none"/>
              </w:tabs>
            </w:pPr>
            <w:r>
              <w:rPr>
                <w:b/>
                <w:bCs/>
                <w:highlight w:val="white"/>
                <w:lang w:eastAsia="en-US"/>
              </w:rPr>
              <w:t xml:space="preserve">Установлены</w:t>
            </w:r>
            <w:r>
              <w:t xml:space="preserve">.</w:t>
            </w:r>
            <w:r/>
          </w:p>
          <w:p>
            <w:pPr>
              <w:pStyle w:val="1453"/>
              <w:numPr>
                <w:ilvl w:val="0"/>
                <w:numId w:val="31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highlight w:val="white"/>
              </w:rPr>
            </w:pPr>
            <w:r>
              <w:t xml:space="preserve">должен иметь за последние 3 (три) года </w:t>
            </w:r>
            <w:r>
              <w:t xml:space="preserve">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 опыт исполнения аналогичных договоров на общую сумму (без НДС) не менее 80% (восемьдесят процентов)</w:t>
            </w:r>
            <w:r>
              <w:t xml:space="preserve"> стоимости начальной </w:t>
            </w:r>
            <w:r>
              <w:t xml:space="preserve">(максимальной) цены договора (лота) (без </w:t>
            </w:r>
            <w:r>
              <w:rPr>
                <w:highlight w:val="white"/>
              </w:rPr>
              <w:t xml:space="preserve">НДС), установленной в настоящей информационной карте закупки.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  <w:bCs/>
                <w:i/>
                <w:highlight w:val="white"/>
                <w:u w:val="single"/>
              </w:rPr>
            </w:pPr>
            <w:r>
              <w:rPr>
                <w:b/>
                <w:highlight w:val="white"/>
              </w:rPr>
              <w:t xml:space="preserve">При этом аналогичными договорами будут признаны договоры на: </w:t>
            </w:r>
            <w:r>
              <w:rPr>
                <w:b/>
                <w:bCs/>
                <w:i/>
                <w:highlight w:val="white"/>
                <w:u w:val="single"/>
              </w:rPr>
            </w:r>
          </w:p>
          <w:p>
            <w:pPr>
              <w:pStyle w:val="1453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работ «под ключ» по строительству/реконструкции/ремонту объ</w:t>
            </w:r>
            <w:r>
              <w:t xml:space="preserve">ектов электросетевого хозяйства напряжением от 0,4 кВ до 15 кВ, мощностью от 1 до 150 кВт;</w:t>
            </w:r>
            <w:r/>
          </w:p>
          <w:p>
            <w:pPr>
              <w:pStyle w:val="1453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работ по проектированию объектов электросетевого хозяйства напряжением от 0,4 кВ до 15 кВ, мощностью от 1 до 150 кВт;</w:t>
            </w:r>
            <w:r/>
          </w:p>
          <w:p>
            <w:pPr>
              <w:pStyle w:val="1453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строительно-монтажных раб</w:t>
            </w:r>
            <w:r>
              <w:t xml:space="preserve">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/>
          </w:p>
          <w:p>
            <w:pPr>
              <w:spacing w:after="0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</w:t>
            </w:r>
            <w:r>
              <w:t xml:space="preserve">ы  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</w:t>
            </w:r>
            <w:r>
              <w:t xml:space="preserve">т» по форме КС-3 (в случае если в соответствии с условиями договора такая форма предусмотрена), либо в актах выполненных работ. </w:t>
            </w:r>
            <w:r/>
          </w:p>
          <w:p>
            <w:pPr>
              <w:pStyle w:val="1427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1" w:name="_Сведения_и"/>
            <w:r/>
            <w:bookmarkStart w:id="142" w:name="_Сведения_и_документы,"/>
            <w:r/>
            <w:bookmarkStart w:id="143" w:name="Par66"/>
            <w:r/>
            <w:bookmarkEnd w:id="141"/>
            <w:r/>
            <w:bookmarkEnd w:id="14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и документы, входящие в состав заявки на участие </w:t>
            </w:r>
            <w:bookmarkEnd w:id="143"/>
            <w:r/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ценового предложения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Комм" w:history="1">
              <w:r>
                <w:rPr>
                  <w:rStyle w:val="1360"/>
                  <w:lang w:eastAsia="en-US"/>
                </w:rPr>
                <w:t xml:space="preserve">КОММЕРЧЕСКОЕ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</w:t>
            </w:r>
            <w:r>
              <w:rPr>
                <w:lang w:eastAsia="en-US"/>
              </w:rPr>
              <w:t xml:space="preserve">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60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).</w:t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/>
                <w:bCs/>
                <w:color w:val="ff0000"/>
                <w:u w:val="single"/>
                <w:lang w:eastAsia="en-US"/>
              </w:rPr>
              <w:t xml:space="preserve">Примечание:</w:t>
            </w:r>
            <w:r>
              <w:rPr>
                <w:bCs/>
                <w:color w:val="ff0000"/>
                <w:lang w:eastAsia="en-US"/>
              </w:rPr>
              <w:t xml:space="preserve"> участник закупки в </w:t>
            </w:r>
            <w:hyperlink w:tooltip="#_ФОРМА_Коммерческое_предложение" w:anchor="_ФОРМА_Комм" w:history="1">
              <w:r>
                <w:rPr>
                  <w:rStyle w:val="1360"/>
                  <w:bCs/>
                  <w:lang w:eastAsia="en-US"/>
                </w:rPr>
                <w:t xml:space="preserve">КОММЕРЧЕСКОМ ПРЕДЛОЖЕНИИ</w:t>
              </w:r>
            </w:hyperlink>
            <w:r>
              <w:rPr>
                <w:bCs/>
                <w:color w:val="ff0000"/>
                <w:lang w:eastAsia="en-US"/>
              </w:rPr>
              <w:t xml:space="preserve"> должен указать предложение о коэффициенте </w:t>
            </w:r>
            <w:r>
              <w:rPr>
                <w:bCs/>
                <w:color w:val="ff0000"/>
                <w:lang w:eastAsia="en-US"/>
              </w:rPr>
              <w:t xml:space="preserve">понижения цены.</w:t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формировании ценовой части заявки участник закупки указывает в форме, заполняемой на ЭТП, условную итоговую стоимость заявки участника.</w:t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pStyle w:val="1411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этом участник закупки загружа</w:t>
            </w:r>
            <w:r>
              <w:rPr>
                <w:bCs/>
                <w:color w:val="ff0000"/>
                <w:lang w:eastAsia="en-US"/>
              </w:rPr>
              <w:t xml:space="preserve">ет в ценовую часть заявки на ЭТП заполненный файл </w:t>
            </w:r>
            <w:hyperlink w:tooltip="#_ФОРМА_Коммерческое_предложение" w:anchor="_ФОРМА_Комм" w:history="1">
              <w:r>
                <w:rPr>
                  <w:rStyle w:val="1360"/>
                  <w:bCs/>
                  <w:lang w:eastAsia="en-US"/>
                </w:rPr>
                <w:t xml:space="preserve">КОММЕРЧЕСКОГО ПРЕДЛОЖЕНИЯ</w:t>
              </w:r>
            </w:hyperlink>
            <w:r>
              <w:rPr>
                <w:bCs/>
                <w:color w:val="ff0000"/>
                <w:lang w:eastAsia="en-US"/>
              </w:rPr>
              <w:t xml:space="preserve"> в редактируемом формате и в виде сканированного образа документа, подписанного уполномоченным лицом участника.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общей части заявки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Style w:val="1360"/>
                <w:color w:val="auto"/>
                <w:u w:val="none"/>
                <w:lang w:eastAsia="en-US"/>
              </w:rPr>
            </w:pPr>
            <w:r>
              <w:rPr>
                <w:color w:val="auto"/>
                <w:u w:val="none"/>
                <w:lang w:eastAsia="en-US"/>
              </w:rPr>
            </w:r>
            <w:r>
              <w:rPr>
                <w:rStyle w:val="1360"/>
                <w:color w:val="auto"/>
                <w:u w:val="none"/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ТЕХН" w:history="1">
              <w:r>
                <w:rPr>
                  <w:rStyle w:val="1360"/>
                  <w:lang w:eastAsia="en-US"/>
                </w:rPr>
                <w:t xml:space="preserve">ТЕХНИЧЕСКОЕ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60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/>
            <w:hyperlink w:tooltip="#_ФОРМА_Письмо_о" w:anchor="_ФОРМА_Пись" w:history="1">
              <w:r>
                <w:rPr>
                  <w:rStyle w:val="1360"/>
                  <w:lang w:eastAsia="en-US"/>
                </w:rPr>
                <w:t xml:space="preserve">ПИСЬМО О ПОДАЧЕ ОФЕРТЫ</w:t>
              </w:r>
            </w:hyperlink>
            <w:r>
              <w:rPr>
                <w:rStyle w:val="1360"/>
                <w:color w:val="auto"/>
                <w:u w:val="none"/>
                <w:lang w:eastAsia="en-US"/>
              </w:rPr>
              <w:t xml:space="preserve"> по форме и в соответствии с инструкциями, приведенными в настоящей документац</w:t>
            </w:r>
            <w:r>
              <w:rPr>
                <w:rStyle w:val="1360"/>
                <w:color w:val="auto"/>
                <w:u w:val="none"/>
                <w:lang w:eastAsia="en-US"/>
              </w:rPr>
              <w:t xml:space="preserve">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0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60"/>
                <w:color w:val="auto"/>
                <w:u w:val="none"/>
                <w:lang w:eastAsia="en-US"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(приказы, протоколы собрания учредителей о назначении руководителя и т.д.), подтверждающие полномочия лица, подписавшего </w:t>
            </w:r>
            <w:r>
              <w:rPr>
                <w:lang w:eastAsia="en-US"/>
              </w:rPr>
              <w:t xml:space="preserve">Заявку, а также его право на заключение соответствующего Договора по результатам закупки. Если Заявка подписывается по доверенности, предоставляется такая доверенность и вышеуказанные документы на лицо, выдавшее доверенность;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Выписка из Единого государстве</w:t>
            </w:r>
            <w:r>
              <w:rPr>
                <w:lang w:eastAsia="en-US"/>
              </w:rPr>
              <w:t xml:space="preserve">нного реестра юридических лиц (ЕГРЮЛ) (либо выписка из Единого государственного реестра индивидуальных предпринимателей (ЕГРИП) для индивидуальных предпринимателей), выданная соответствующим подразделением Министерства Российской Федерации по налогом и сбо</w:t>
            </w:r>
            <w:r>
              <w:rPr>
                <w:lang w:eastAsia="en-US"/>
              </w:rPr>
              <w:t xml:space="preserve">рам </w:t>
            </w:r>
            <w:r>
              <w:rPr>
                <w:b/>
                <w:bCs/>
                <w:lang w:eastAsia="en-US"/>
              </w:rPr>
              <w:t xml:space="preserve">не ранее чем за 60 (шестьдесят) календарных дней до срока окончания приема Заявок</w:t>
            </w:r>
            <w:r>
              <w:rPr>
                <w:lang w:eastAsia="en-US"/>
              </w:rPr>
              <w:t xml:space="preserve">. Участник так же может предоставить  выписку из ЕГРЮЛ / ЕГРИП  подписанную усиленной квалифицированной электронной цифровой </w:t>
            </w:r>
            <w:r>
              <w:rPr>
                <w:lang w:eastAsia="en-US"/>
              </w:rPr>
              <w:t xml:space="preserve">подписью налогового органа, и сформированную, </w:t>
            </w:r>
            <w:r>
              <w:rPr>
                <w:lang w:eastAsia="en-US"/>
              </w:rPr>
              <w:t xml:space="preserve">не ранее, чем за 60 (шестьдесят) календарных  дней до срока окончания приема Заявок, с использованием сервиса «Предоставление сведений из ЕГРЮЛ / ЕГРИП о конкретном юридическом лице/индивидуальном предпринимателе в форме электронного  документа», размещенн</w:t>
            </w:r>
            <w:r>
              <w:rPr>
                <w:lang w:eastAsia="en-US"/>
              </w:rPr>
              <w:t xml:space="preserve">ого на официальном сайте ФНС России в сети Интернет по адресу </w:t>
            </w:r>
            <w:hyperlink r:id="rId53" w:tooltip="https://service.nalog.ru/vyp/" w:history="1">
              <w:r>
                <w:rPr>
                  <w:rStyle w:val="1360"/>
                  <w:lang w:eastAsia="en-US"/>
                </w:rPr>
                <w:t xml:space="preserve">https://service.nalog.ru/vyp/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Устав в действующей редакции со всеми изменениями и дополнениями;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/>
            <w:hyperlink w:tooltip="#_ФОРМА_ПЛАН_РАСПРЕДЕЛЕНИЯ" w:anchor="_ФОРМА_План" w:history="1">
              <w:r>
                <w:rPr>
                  <w:rStyle w:val="1360"/>
                  <w:lang w:eastAsia="en-US"/>
                </w:rPr>
                <w:t xml:space="preserve">ПЛАН РАСПРЕДЕЛЕНИЯ ОБЪЕМОВ МЕЖДУ ЧЛЕНАМИ КОЛЛЕКТИВНОГО УЧАСТНИКА (КОНСОРЦИУМА, ПРОСТОГО ТОВАРИЩЕСТВА)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60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rPr>
                <w:i/>
                <w:lang w:eastAsia="en-US"/>
              </w:rPr>
              <w:t xml:space="preserve"> (Предоставляется в случае участия в закупке Коллективного участника, отсутствие указанного документа в составе заявки означает, что коллективный участник не прини</w:t>
            </w:r>
            <w:r>
              <w:rPr>
                <w:i/>
                <w:lang w:eastAsia="en-US"/>
              </w:rPr>
              <w:t xml:space="preserve">мает участие в закупке);</w:t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Анкета_участника" w:anchor="_ФОРМА_Анке" w:history="1">
              <w:r>
                <w:rPr>
                  <w:rStyle w:val="1360"/>
                  <w:lang w:eastAsia="en-US"/>
                </w:rPr>
                <w:t xml:space="preserve">АНКЕТА УЧАСТНИКА ЗАКУПКИ</w:t>
              </w:r>
            </w:hyperlink>
            <w:r>
              <w:rPr>
                <w:rStyle w:val="1360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0"/>
                  <w:lang w:eastAsia="en-US"/>
                </w:rPr>
                <w:t xml:space="preserve">III «ОБРАЗЦЫ ФОРМ ДЛЯ ЗАПОЛНЕН</w:t>
              </w:r>
              <w:r>
                <w:rPr>
                  <w:rStyle w:val="1360"/>
                  <w:lang w:eastAsia="en-US"/>
                </w:rPr>
                <w:t xml:space="preserve">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>
              <w:rPr>
                <w:lang w:eastAsia="en-US"/>
              </w:rPr>
              <w:t xml:space="preserve">Сведения из Единого реестра субъектов малого и среднего предпринимательства, подтверждающие отнесение Участника к субъектам МСП, ведение которого осуществляется в соответствии с Федеральным законом 24.07.2007 № 209-ФЗ «О развитии </w:t>
            </w:r>
            <w:r>
              <w:rPr>
                <w:lang w:eastAsia="en-US"/>
              </w:rPr>
              <w:t xml:space="preserve">малого и среднего предпринимательства» </w:t>
            </w:r>
            <w:r>
              <w:rPr>
                <w:i/>
                <w:lang w:eastAsia="en-US"/>
              </w:rPr>
              <w:t xml:space="preserve">(предоставляется в случае, если Участник является субъектом малого или среднего предпринимательства);</w:t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>
              <w:rPr>
                <w:rFonts w:eastAsia="Calibri"/>
                <w:lang w:eastAsia="en-US"/>
              </w:rPr>
              <w:t xml:space="preserve">Справка об исполнении налогоплательщиком (плательщиком сбора, плательщиком страховых взносов, налоговым агентом) об</w:t>
            </w:r>
            <w:r>
              <w:rPr>
                <w:rFonts w:eastAsia="Calibri"/>
                <w:lang w:eastAsia="en-US"/>
              </w:rPr>
              <w:t xml:space="preserve">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lang w:eastAsia="en-US"/>
              </w:rPr>
              <w:t xml:space="preserve">Форма по КНД 1120101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</w:rPr>
              <w:t xml:space="preserve"> полученная </w:t>
            </w:r>
            <w:r>
              <w:rPr>
                <w:b/>
                <w:bCs/>
              </w:rPr>
              <w:t xml:space="preserve">не ранее чем за 60 (шестьдесят) дней до срока окончания подачи заявок</w:t>
            </w:r>
            <w:r>
              <w:rPr>
                <w:rFonts w:eastAsia="Calibri"/>
              </w:rPr>
              <w:t xml:space="preserve">*.</w:t>
            </w:r>
            <w:r/>
          </w:p>
          <w:p>
            <w:pPr>
              <w:pStyle w:val="1411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Fonts w:eastAsia="Calibri"/>
                <w:i/>
                <w:iCs/>
                <w:lang w:eastAsia="en-US"/>
              </w:rPr>
            </w:pPr>
            <w:r>
              <w:rPr>
                <w:rFonts w:eastAsia="Calibri"/>
                <w:i/>
                <w:iCs/>
                <w:lang w:eastAsia="en-US"/>
              </w:rPr>
              <w:t xml:space="preserve">*В случае наличия в предоставленной Сп</w:t>
            </w:r>
            <w:r>
              <w:rPr>
                <w:rFonts w:eastAsia="Calibri"/>
                <w:i/>
                <w:iCs/>
                <w:lang w:eastAsia="en-US"/>
              </w:rPr>
              <w:t xml:space="preserve">равке об исполнении налогоплательщиком (плательщиком сбора, плательщиком </w:t>
            </w:r>
            <w:r>
              <w:rPr>
                <w:rFonts w:eastAsia="Calibri"/>
                <w:i/>
                <w:iCs/>
                <w:lang w:eastAsia="en-US"/>
              </w:rPr>
              <w:t xml:space="preserve">страховых 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1120101</w:t>
            </w:r>
            <w:r>
              <w:rPr>
                <w:rFonts w:eastAsia="Calibri"/>
                <w:i/>
                <w:iCs/>
                <w:lang w:eastAsia="en-US"/>
              </w:rPr>
              <w:t xml:space="preserve">) информации об имеющейся задолженности,</w:t>
            </w:r>
            <w:r>
              <w:rPr>
                <w:rFonts w:eastAsia="Calibri"/>
                <w:i/>
                <w:iCs/>
                <w:lang w:eastAsia="en-US"/>
              </w:rPr>
              <w:t xml:space="preserve"> участник в обязательном порядке должен предоставить справку о наличии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</w:t>
            </w:r>
            <w:r>
              <w:rPr>
                <w:rFonts w:eastAsia="Calibri"/>
                <w:i/>
                <w:iCs/>
                <w:lang w:eastAsia="en-US"/>
              </w:rPr>
              <w:t xml:space="preserve">го агента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</w:t>
            </w:r>
            <w:r>
              <w:rPr>
                <w:rFonts w:eastAsia="Calibri"/>
                <w:b/>
                <w:bCs/>
                <w:lang w:eastAsia="en-US"/>
              </w:rPr>
              <w:t xml:space="preserve">1160082</w:t>
            </w:r>
            <w:r>
              <w:rPr>
                <w:rFonts w:eastAsia="Calibri"/>
                <w:i/>
                <w:iCs/>
                <w:lang w:eastAsia="en-US"/>
              </w:rPr>
              <w:t xml:space="preserve">),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полученную не позднее чем за 60 (шестьдесят) дней до срока окончания подачи заявок</w:t>
            </w:r>
            <w:r>
              <w:rPr>
                <w:rFonts w:eastAsia="Calibri"/>
                <w:i/>
                <w:iCs/>
                <w:lang w:eastAsia="en-US"/>
              </w:rPr>
              <w:t xml:space="preserve">.</w:t>
            </w:r>
            <w:r>
              <w:rPr>
                <w:rFonts w:eastAsia="Calibri"/>
                <w:i/>
                <w:iCs/>
                <w:lang w:eastAsia="en-US"/>
              </w:rPr>
            </w:r>
          </w:p>
          <w:p>
            <w:pPr>
              <w:pStyle w:val="1411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Вышеуказанные справки должны быть предоставлены одним из следующих форматов:</w:t>
            </w:r>
            <w:r>
              <w:rPr>
                <w:lang w:eastAsia="en-US"/>
              </w:rPr>
            </w:r>
          </w:p>
          <w:p>
            <w:pPr>
              <w:pStyle w:val="1453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форме электронного документа, подписанного усиленной квалиф</w:t>
            </w:r>
            <w:r>
              <w:t xml:space="preserve">ицированной электронной подписью налогового органа в порядке, установленном законодательством РФ.  При этом участник прикладывает архив, содержащий саму справку и файл, содержащий сведения о подписи;</w:t>
            </w:r>
            <w:r/>
          </w:p>
          <w:p>
            <w:pPr>
              <w:pStyle w:val="1453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форме электронного документа, выгруженного через ЭДО с</w:t>
            </w:r>
            <w:r>
              <w:t xml:space="preserve"> нанесенными на него сведениями о цифровой подписи налогового органа и о цифровой подписи Участника;</w:t>
            </w:r>
            <w:r/>
          </w:p>
          <w:p>
            <w:pPr>
              <w:pStyle w:val="1453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форме копии с круглой печатью соответствующего подразделения ФНС, выдавшего справку.</w:t>
            </w:r>
            <w:r/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>
              <w:t xml:space="preserve">Документы, подтверждающие финансовую устойчивость участника закупки:</w:t>
            </w:r>
            <w:r/>
          </w:p>
          <w:p>
            <w:pPr>
              <w:pStyle w:val="1411"/>
              <w:numPr>
                <w:ilvl w:val="0"/>
                <w:numId w:val="35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обычной системы налогообложения</w:t>
            </w:r>
            <w:r>
              <w:t xml:space="preserve">:</w:t>
            </w:r>
            <w:r/>
          </w:p>
          <w:p>
            <w:pPr>
              <w:pStyle w:val="1411"/>
              <w:numPr>
                <w:ilvl w:val="0"/>
                <w:numId w:val="36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учете»;</w:t>
            </w:r>
            <w:r/>
          </w:p>
          <w:p>
            <w:pPr>
              <w:pStyle w:val="1411"/>
              <w:numPr>
                <w:ilvl w:val="0"/>
                <w:numId w:val="35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упрощенной сис</w:t>
            </w:r>
            <w:r>
              <w:rPr>
                <w:i/>
                <w:iCs/>
              </w:rPr>
              <w:t xml:space="preserve">темы налогообложения</w:t>
            </w:r>
            <w:r>
              <w:t xml:space="preserve">:</w:t>
            </w:r>
            <w:r/>
          </w:p>
          <w:p>
            <w:pPr>
              <w:pStyle w:val="1411"/>
              <w:numPr>
                <w:ilvl w:val="0"/>
                <w:numId w:val="37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год;</w:t>
            </w:r>
            <w:r/>
          </w:p>
          <w:p>
            <w:pPr>
              <w:pStyle w:val="1411"/>
              <w:numPr>
                <w:ilvl w:val="0"/>
                <w:numId w:val="37"/>
              </w:numPr>
              <w:ind w:left="0" w:firstLine="349"/>
              <w:tabs>
                <w:tab w:val="left" w:pos="383" w:leader="none"/>
              </w:tabs>
            </w:pPr>
            <w:r>
              <w:t xml:space="preserve">заявление о переходе на упрощенную систему налогообложения.</w:t>
            </w:r>
            <w:r/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rStyle w:val="1360"/>
                <w:color w:val="auto"/>
                <w:u w:val="none"/>
                <w:lang w:eastAsia="en-US"/>
              </w:rPr>
            </w:pPr>
            <w:r/>
            <w:hyperlink w:tooltip="#_ФОРМА_8._Декларация" w:anchor="_ФОРМА_Спра" w:history="1">
              <w:r>
                <w:rPr>
                  <w:rStyle w:val="1360"/>
                  <w:lang w:eastAsia="en-US"/>
                </w:rPr>
        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</w:t>
              </w:r>
            </w:hyperlink>
            <w:r>
              <w:rPr>
                <w:rStyle w:val="1360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0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60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360"/>
                <w:color w:val="auto"/>
                <w:u w:val="none"/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правка_(информация)" w:anchor="_ФОРМА_Спра_1" w:history="1">
              <w:r>
                <w:rPr>
                  <w:rStyle w:val="1360"/>
                  <w:lang w:eastAsia="en-US"/>
                </w:rPr>
                <w:t xml:space="preserve">СПРАВКА (ИНФОРМАЦИЯ) О СОБСТВЕННИКАХ УЧАСТНИКА ЗАКУПКИ (ВКЛЮЧАЯ КОНЕЧНЫХ БЕНЕФИЦИАРОВ)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rStyle w:val="1360"/>
                <w:color w:val="auto"/>
                <w:u w:val="none"/>
                <w:lang w:eastAsia="en-US"/>
              </w:rPr>
              <w:t xml:space="preserve">по форме, установленной в насто</w:t>
            </w:r>
            <w:r>
              <w:rPr>
                <w:rStyle w:val="1360"/>
                <w:color w:val="auto"/>
                <w:u w:val="none"/>
                <w:lang w:eastAsia="en-US"/>
              </w:rPr>
              <w:t xml:space="preserve">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0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60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огласие_на" w:anchor="_ФОРМА_Согл" w:history="1">
              <w:r>
                <w:rPr>
                  <w:rStyle w:val="1360"/>
                  <w:lang w:eastAsia="en-US"/>
                </w:rPr>
                <w:t xml:space="preserve">СОГЛАСИЕ НА ОБРАБОТКУ ПЕ</w:t>
              </w:r>
              <w:r>
                <w:rPr>
                  <w:rStyle w:val="1360"/>
                  <w:lang w:eastAsia="en-US"/>
                </w:rPr>
                <w:t xml:space="preserve">РСОНАЛЬНЫХ ДАННЫХ ОТ СОБСТВЕННИКОВ УЧАСТНИКА (ВКЛЮЧАЯ КОНЕЧНЫХ БЕНЕФИЦИАРОВ)</w:t>
              </w:r>
            </w:hyperlink>
            <w:r>
              <w:rPr>
                <w:rStyle w:val="1360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0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60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rStyle w:val="1360"/>
                <w:color w:val="auto"/>
                <w:u w:val="none"/>
                <w:lang w:eastAsia="en-US"/>
              </w:rPr>
            </w:pPr>
            <w:r/>
            <w:hyperlink w:tooltip="#_ФОРМА_Антикоррупционные_обязательст" w:anchor="_ФОРМА_Анти" w:history="1">
              <w:r>
                <w:rPr>
                  <w:rStyle w:val="1360"/>
                  <w:lang w:eastAsia="en-US"/>
                </w:rPr>
                <w:t xml:space="preserve">АНТИКОРРУПЦИОННЫЕ ОБЯЗАТЕЛЬСТВА</w:t>
              </w:r>
            </w:hyperlink>
            <w:r>
              <w:rPr>
                <w:rStyle w:val="1360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60"/>
                  <w:lang w:eastAsia="en-US"/>
                </w:rPr>
                <w:t xml:space="preserve">III «ОБРАЗЦЫ ФОРМ ДЛЯ ЗАПОЛНЕНИЯ УЧАСТНИКАМ</w:t>
              </w:r>
              <w:r>
                <w:rPr>
                  <w:rStyle w:val="1360"/>
                  <w:lang w:eastAsia="en-US"/>
                </w:rPr>
                <w:t xml:space="preserve">И ЗАКУПКИ»</w:t>
              </w:r>
            </w:hyperlink>
            <w:r>
              <w:rPr>
                <w:rStyle w:val="1360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360"/>
                <w:color w:val="auto"/>
                <w:u w:val="none"/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указ</w:t>
            </w:r>
            <w:r>
              <w:rPr>
                <w:lang w:eastAsia="en-US"/>
              </w:rPr>
              <w:t xml:space="preserve">анные в пункте </w:t>
            </w:r>
            <w:hyperlink w:tooltip="#_Документы,_подтверждающие_соответст" w:anchor="_Документы," w:history="1">
              <w:r>
                <w:rPr>
                  <w:rStyle w:val="1360"/>
                  <w:lang w:eastAsia="en-US"/>
                </w:rPr>
                <w:t xml:space="preserve">18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</w:t>
            </w:r>
            <w:r>
              <w:rPr>
                <w:lang w:eastAsia="en-US"/>
              </w:rPr>
              <w:t xml:space="preserve">к «Типовым требованиям к участникам закупок, критериям и порядку оценки  заявок участников закупок» Единого стандарта ПАО «Россети» указанные в пункте </w:t>
            </w:r>
            <w:hyperlink w:tooltip="#_Документы_и_сведения," w:anchor="_Документы_" w:history="1">
              <w:r>
                <w:rPr>
                  <w:rStyle w:val="1360"/>
                </w:rPr>
                <w:t xml:space="preserve">19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</w:t>
            </w:r>
            <w:r>
              <w:rPr>
                <w:lang w:eastAsia="en-US"/>
              </w:rPr>
              <w:t xml:space="preserve">окументы и сведения, необходимые для оценки заявки по неценовым критериям указанные в пункте </w:t>
            </w:r>
            <w:hyperlink w:tooltip="#_Документы_и_сведения,_1" w:anchor="_Документы__1" w:history="1">
              <w:r>
                <w:rPr>
                  <w:rStyle w:val="1360"/>
                  <w:lang w:eastAsia="en-US"/>
                </w:rPr>
                <w:t xml:space="preserve">20 части II «ИНФОРМАЦИОННАЯ КАРТА ЗАКУПКИ»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(непредставление указанных документов и сведений не явля</w:t>
            </w:r>
            <w:r>
              <w:rPr>
                <w:i/>
                <w:lang w:eastAsia="en-US"/>
              </w:rPr>
              <w:t xml:space="preserve">ется основанием для отклонения заявки)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случае участия в закупке коллективного участника, заявка также должна содержать документы и сведения, предусмотренные пунктами </w:t>
            </w:r>
            <w:hyperlink w:tooltip="#_В_случае,_если" w:anchor="_3.4.5._В_с" w:history="1">
              <w:r>
                <w:rPr>
                  <w:rStyle w:val="1360"/>
                  <w:lang w:eastAsia="en-US"/>
                </w:rPr>
                <w:t xml:space="preserve">3.4.5</w:t>
              </w:r>
            </w:hyperlink>
            <w:r>
              <w:rPr>
                <w:lang w:eastAsia="en-US"/>
              </w:rPr>
              <w:t xml:space="preserve">, </w:t>
            </w:r>
            <w:hyperlink w:tooltip="#_В_случае,_если_1" w:anchor="_3.4.6._В_с" w:history="1">
              <w:r>
                <w:rPr>
                  <w:rStyle w:val="1360"/>
                  <w:lang w:eastAsia="en-US"/>
                </w:rPr>
                <w:t xml:space="preserve">3.4.6</w:t>
              </w:r>
            </w:hyperlink>
            <w:r>
              <w:rPr>
                <w:rStyle w:val="1360"/>
                <w:u w:val="none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настоящей документации о закупке;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Платежное поручение, подтверждающие факт перечисления денежных средств, внесенных на счет Заказчика в качестве обеспечения заявки на участие в закупке </w:t>
            </w:r>
            <w:r>
              <w:rPr>
                <w:bCs/>
                <w:i/>
                <w:lang w:eastAsia="en-US"/>
              </w:rPr>
              <w:t xml:space="preserve">(предоставляется в случае выбора Учас</w:t>
            </w:r>
            <w:r>
              <w:rPr>
                <w:bCs/>
                <w:i/>
                <w:lang w:eastAsia="en-US"/>
              </w:rPr>
              <w:t xml:space="preserve">тником закупки обеспечения заявки в форме внесения денежных средств на счёт Заказчика)</w:t>
            </w:r>
            <w:r>
              <w:rPr>
                <w:bCs/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Независимая гарантия по обеспечению заявки на участие в закупке в соответствии с частью </w:t>
            </w:r>
            <w:hyperlink w:tooltip="#_Типовые_формы_независимых" w:anchor="_VII._ТИПОВ" w:history="1">
              <w:r>
                <w:rPr>
                  <w:rStyle w:val="1360"/>
                  <w:lang w:eastAsia="en-US"/>
                </w:rPr>
                <w:t xml:space="preserve">VII «ТИПОВЫЕ ФОРМЫ НЕЗАВИСИМЫХ ГАРАНТИЙ»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(предоставляется в случае выбора Участником закупки обеспечения заявки в форме независимой гарантии)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4" w:name="_Документы,"/>
            <w:r/>
            <w:bookmarkStart w:id="145" w:name="_Соответствие_требованиям,_установле"/>
            <w:r/>
            <w:bookmarkEnd w:id="144"/>
            <w:r/>
            <w:bookmarkEnd w:id="14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pStyle w:val="1411"/>
              <w:numPr>
                <w:ilvl w:val="0"/>
                <w:numId w:val="0"/>
              </w:numPr>
            </w:pPr>
            <w:r>
              <w:rPr>
                <w:lang w:eastAsia="en-US"/>
              </w:rPr>
              <w:t xml:space="preserve">Не требуются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white"/>
              </w:rPr>
            </w:pPr>
            <w:r/>
            <w:bookmarkStart w:id="146" w:name="_Документы_"/>
            <w:r/>
            <w:bookmarkStart w:id="147" w:name="_Документы_и_сведения,"/>
            <w:r/>
            <w:bookmarkEnd w:id="146"/>
            <w:r/>
            <w:bookmarkEnd w:id="147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Документы и 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сведения,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Единого стандарта ПАО «Россети»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11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Требуются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pStyle w:val="1411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11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/>
            <w:hyperlink w:tooltip="#_ФОРМА_Спра_2" w:anchor="_ФОРМА_Спра_2" w:history="1">
              <w:r>
                <w:rPr>
                  <w:rStyle w:val="1360"/>
                  <w:highlight w:val="white"/>
                </w:rPr>
                <w:t xml:space="preserve">СПРАВКА О ПЕРЕЧНЕ И ОБЪЕМАХ ИСПОЛНЕНИЯ АНАЛОГИЧНЫХ ДОГОВОРОВ ЗА 3 (ТРИ) ПОСЛЕДНИЕ ГОДА</w:t>
              </w:r>
            </w:hyperlink>
            <w:r>
              <w:rPr>
                <w:highlight w:val="white"/>
              </w:rPr>
              <w:t xml:space="preserve">, </w:t>
            </w:r>
            <w:r>
              <w:rPr>
                <w:highlight w:val="white"/>
                <w:lang w:eastAsia="en-US"/>
              </w:rPr>
              <w:t xml:space="preserve">по форме, установленной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60"/>
                  <w:highlight w:val="white"/>
                  <w:lang w:eastAsia="en-US"/>
                </w:rPr>
                <w:t xml:space="preserve">I</w:t>
              </w:r>
              <w:r>
                <w:rPr>
                  <w:rStyle w:val="1360"/>
                  <w:highlight w:val="white"/>
                  <w:lang w:eastAsia="en-US"/>
                </w:rPr>
                <w:t xml:space="preserve">II «ОБРАЗЦЫ ФОРМ ДЛЯ ЗАПОЛНЕНИЯ УЧАСТНИКАМИ ЗАКУПКИ»</w:t>
              </w:r>
            </w:hyperlink>
            <w:r>
              <w:rPr>
                <w:highlight w:val="white"/>
                <w:lang w:eastAsia="en-US"/>
              </w:rPr>
              <w:t xml:space="preserve">)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</w:p>
          <w:p>
            <w:pPr>
              <w:pStyle w:val="1411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исполненных аналогичных договоров, включающих все приложения к таким договорам, все дополнительные соглашения к ним.</w:t>
            </w:r>
            <w:r>
              <w:rPr>
                <w:highlight w:val="white"/>
              </w:rPr>
            </w:r>
          </w:p>
          <w:p>
            <w:pPr>
              <w:pStyle w:val="1411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копия последней «Справки о стоимости выполненных работ и затрат» по форме КС-3</w:t>
            </w:r>
            <w:r>
              <w:rPr>
                <w:highlight w:val="white"/>
              </w:rPr>
              <w:t xml:space="preserve"> (в случае если в соответствии с условиями договора такая форма предусмотрена);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  <w:color w:val="1f497d"/>
                <w:highlight w:val="white"/>
              </w:rPr>
            </w:pPr>
            <w:r>
              <w:rPr>
                <w:b/>
                <w:highlight w:val="white"/>
              </w:rPr>
              <w:t xml:space="preserve">или</w:t>
            </w:r>
            <w:r>
              <w:rPr>
                <w:b/>
                <w:color w:val="1f497d"/>
                <w:highlight w:val="white"/>
              </w:rPr>
            </w:r>
          </w:p>
          <w:p>
            <w:pPr>
              <w:pStyle w:val="1469"/>
              <w:ind w:firstLine="1276"/>
              <w:jc w:val="both"/>
              <w:tabs>
                <w:tab w:val="left" w:pos="459" w:leader="none"/>
                <w:tab w:val="left" w:pos="1985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«Актов о приемке выполненных работ» (форма КС-2 или иная форма в соответствии с условиями договора), содержащих все обязательные реквизиты, установленные частью 2 ста</w:t>
            </w:r>
            <w:r>
              <w:rPr>
                <w:highlight w:val="white"/>
              </w:rPr>
              <w:t xml:space="preserve">тьи 9 Федерального закона «О бухгалтерском учете» от 06.12.2011 № 402-ФЗ.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8" w:name="_Документы__1"/>
            <w:r/>
            <w:bookmarkStart w:id="149" w:name="_Документы_и_сведения,_1"/>
            <w:r/>
            <w:bookmarkEnd w:id="148"/>
            <w:r/>
            <w:bookmarkEnd w:id="149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необходимые для оценки заявки по неценовым критериям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11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Перечень документов, необходимых для оценки заявок указан в </w:t>
            </w:r>
            <w:hyperlink w:tooltip="#_Приложение_№_1" w:anchor="_Приложение_№_1" w:history="1">
              <w:r>
                <w:rPr>
                  <w:rStyle w:val="1360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/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0" w:name="_Размер_обеспечения_исполнения"/>
            <w:r/>
            <w:bookmarkStart w:id="151" w:name="Par67"/>
            <w:r/>
            <w:bookmarkEnd w:id="15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Размер обеспечения исполнения договора, срок и порядок его предоставления</w:t>
            </w:r>
            <w:bookmarkEnd w:id="151"/>
            <w:r/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исполнения договора предусмотрена в размере:</w:t>
            </w:r>
            <w:r>
              <w:rPr>
                <w:highlight w:val="white"/>
              </w:rPr>
            </w:r>
          </w:p>
          <w:p>
            <w:pPr>
              <w:pStyle w:val="1411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5 % о</w:t>
            </w:r>
            <w:r>
              <w:rPr>
                <w:highlight w:val="white"/>
              </w:rPr>
              <w:t xml:space="preserve">т начальной (максимальной) цены договора (цены лота)</w:t>
            </w:r>
            <w:r>
              <w:rPr>
                <w:highlight w:val="white"/>
              </w:rPr>
              <w:t xml:space="preserve">, в случае предоставления обеспечения исполнения договора в форме независимой гарантии.</w:t>
            </w:r>
            <w:r>
              <w:rPr>
                <w:highlight w:val="white"/>
              </w:rPr>
            </w:r>
          </w:p>
          <w:p>
            <w:pPr>
              <w:pStyle w:val="1411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3 % от начальной (максимальной) цены договора (цены лота) в случае предоставления о</w:t>
            </w:r>
            <w:r>
              <w:rPr>
                <w:highlight w:val="white"/>
              </w:rPr>
              <w:t xml:space="preserve">беспечения исполнения договора в форме обеспечительного платежа;</w:t>
            </w:r>
            <w:r>
              <w:rPr>
                <w:highlight w:val="white"/>
              </w:rPr>
            </w:r>
          </w:p>
          <w:p>
            <w:pPr>
              <w:pStyle w:val="1411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10 % от начальной (максимальной) цены договора (не применяется для субъектов малого и среднего предпринимательства) в случае предоставления обеспечения исполнения договора в форме гарантийног</w:t>
            </w:r>
            <w:r>
              <w:rPr>
                <w:highlight w:val="white"/>
              </w:rPr>
              <w:t xml:space="preserve">о депозита.</w:t>
            </w:r>
            <w:r>
              <w:rPr>
                <w:highlight w:val="white"/>
              </w:rPr>
            </w:r>
          </w:p>
          <w:p>
            <w:pPr>
              <w:pStyle w:val="1411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Срок предоставления обеспечения исполнения договора: в соответствии с требованиями, установленными в части </w:t>
            </w:r>
            <w:hyperlink w:tooltip="#_IV._ПРОЕКТ" w:anchor="_IV._ПРОЕКТ" w:history="1">
              <w:r>
                <w:rPr>
                  <w:rStyle w:val="1360"/>
                  <w:highlight w:val="white"/>
                </w:rPr>
                <w:t xml:space="preserve">IV «ПРОЕКТ ДОГОВОРА»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iCs/>
                <w:highlight w:val="white"/>
              </w:rPr>
              <w:t xml:space="preserve">Порядок внесения денежных средств и </w:t>
            </w:r>
            <w:r>
              <w:rPr>
                <w:highlight w:val="white"/>
              </w:rPr>
              <w:t xml:space="preserve">условия независимой гара</w:t>
            </w:r>
            <w:r>
              <w:rPr>
                <w:highlight w:val="white"/>
              </w:rPr>
              <w:t xml:space="preserve">нтии установлены в разделе </w:t>
            </w:r>
            <w:hyperlink w:tooltip="#_Обеспечения_исполнения_договора," w:anchor="_ЗАКЛЮЧЕНИЕ,_ИЗМЕНЕНИЕ_И" w:history="1">
              <w:r>
                <w:rPr>
                  <w:rStyle w:val="1360"/>
                  <w:highlight w:val="white"/>
                </w:rPr>
                <w:t xml:space="preserve">6 части I «ОБЩИЕ УСЛОВИЯ ПРОВЕДЕНИЯ ЗАКУПКИ».</w:t>
              </w:r>
            </w:hyperlink>
            <w:r/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В случае принятия участником закупки решения о предоставлении обеспечения исполнения обязательств п</w:t>
            </w:r>
            <w:r>
              <w:rPr>
                <w:highlight w:val="white"/>
              </w:rPr>
              <w:t xml:space="preserve">о договору в форме денежных средств, такие средства перечисляются на расчетный счет Заказчика, по реквизитам, указанным в части </w:t>
            </w:r>
            <w:hyperlink w:tooltip="#_ФОРМА_15._Справка" w:anchor="_IV._ПРОЕКТ" w:history="1">
              <w:r>
                <w:rPr>
                  <w:rStyle w:val="1360"/>
                  <w:highlight w:val="white"/>
                </w:rPr>
                <w:t xml:space="preserve">IV «ПРОЕКТ ДОГОВОРА»</w:t>
              </w:r>
            </w:hyperlink>
            <w:r>
              <w:rPr>
                <w:rStyle w:val="1360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Критерии и порядок оценки и сопоставления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на участие в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hyperlink w:tooltip="#_Приложение_№_1" w:anchor="_Приложение" w:history="1">
              <w:r>
                <w:rPr>
                  <w:rStyle w:val="1360"/>
                  <w:lang w:eastAsia="en-US"/>
                </w:rPr>
                <w:t xml:space="preserve">Приложении № 1 к части </w:t>
              </w:r>
              <w:r>
                <w:rPr>
                  <w:rStyle w:val="1360"/>
                  <w:lang w:eastAsia="en-US"/>
                </w:rPr>
                <w:t xml:space="preserve">II «ИНФОРМАЦИОННАЯ КАРТА ЗАКУПКИ»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2" w:name="_Право_зака"/>
            <w:r/>
            <w:bookmarkStart w:id="153" w:name="_Право_заказчика_заключить"/>
            <w:r/>
            <w:bookmarkEnd w:id="152"/>
            <w:r/>
            <w:bookmarkEnd w:id="153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Право заказчика заключить договор с несколькими участниками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предусмотрено.</w:t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53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42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возможности одностороннего отказа от исполнения обязательств, предусмотренных договором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договора.</w:t>
            </w:r>
            <w:r>
              <w:rPr>
                <w:i/>
              </w:rPr>
            </w:r>
          </w:p>
        </w:tc>
      </w:tr>
    </w:tbl>
    <w:p>
      <w:pPr>
        <w:pStyle w:val="1142"/>
        <w:jc w:val="right"/>
        <w:rPr>
          <w:rFonts w:ascii="Times New Roman" w:hAnsi="Times New Roman" w:cs="Times New Roman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42"/>
        <w:jc w:val="right"/>
        <w:rPr>
          <w:b w:val="0"/>
        </w:rPr>
      </w:pPr>
      <w:r/>
      <w:bookmarkStart w:id="154" w:name="_Приложение"/>
      <w:r/>
      <w:bookmarkStart w:id="155" w:name="_Приложение_№_1"/>
      <w:r/>
      <w:bookmarkEnd w:id="154"/>
      <w:r/>
      <w:bookmarkEnd w:id="155"/>
      <w:r>
        <w:rPr>
          <w:rFonts w:ascii="Times New Roman" w:hAnsi="Times New Roman" w:cs="Times New Roman"/>
        </w:rPr>
        <w:t xml:space="preserve">Приложение № 1 к части II «ИНФОРМАЦИОННАЯ КАРТА ЗАКУПКИ»</w:t>
      </w:r>
      <w:r>
        <w:rPr>
          <w:b w:val="0"/>
        </w:rPr>
        <w:t xml:space="preserve"> </w:t>
      </w:r>
      <w:r>
        <w:rPr>
          <w:b w:val="0"/>
        </w:rPr>
      </w:r>
    </w:p>
    <w:p>
      <w:pPr>
        <w:contextualSpacing/>
        <w:ind w:firstLine="200"/>
        <w:keepLines/>
        <w:spacing w:before="120" w:after="120"/>
      </w:pPr>
      <w:r/>
      <w:r/>
    </w:p>
    <w:p>
      <w:pPr>
        <w:pStyle w:val="1453"/>
        <w:numPr>
          <w:ilvl w:val="0"/>
          <w:numId w:val="7"/>
        </w:numPr>
        <w:contextualSpacing/>
        <w:ind w:left="0" w:right="-28" w:firstLine="567"/>
        <w:jc w:val="both"/>
        <w:keepLines/>
        <w:spacing w:before="120" w:after="120"/>
        <w:tabs>
          <w:tab w:val="left" w:pos="567" w:leader="none"/>
        </w:tabs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14740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417"/>
        <w:gridCol w:w="2126"/>
        <w:gridCol w:w="8362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427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42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42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</w:t>
            </w:r>
            <w:r>
              <w:rPr>
                <w:rFonts w:ascii="Times New Roman" w:hAnsi="Times New Roman" w:cs="Times New Roman"/>
                <w:b/>
              </w:rPr>
              <w:t xml:space="preserve">начение критерия (V)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42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Максимальный выставляемый балл (без учета весового коэффициента)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8362" w:type="dxa"/>
            <w:vAlign w:val="center"/>
            <w:textDirection w:val="lrTb"/>
            <w:noWrap w:val="false"/>
          </w:tcPr>
          <w:p>
            <w:pPr>
              <w:pStyle w:val="142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Порядок оценки по критерию, в том числе с указанием необходимых подтверждающих сведений и документов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427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427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27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«Цена договора»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427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70%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427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6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При оценке Заявок по критерию</w:t>
            </w:r>
            <w:r>
              <w:rPr>
                <w:b/>
              </w:rPr>
              <w:t xml:space="preserve"> «Цена договора»</w:t>
            </w:r>
            <w:r>
              <w:t xml:space="preserve"> лучшей признается Заявка с наименьшей </w:t>
            </w:r>
            <w:r>
              <w:rPr>
                <w:b/>
                <w:color w:val="000000" w:themeColor="text1"/>
              </w:rPr>
              <w:t xml:space="preserve">условной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ценой заявки.</w:t>
            </w:r>
            <w:r/>
          </w:p>
          <w:p>
            <w:pPr>
              <w:spacing w:after="0"/>
              <w:widowControl w:val="off"/>
            </w:pPr>
            <w:r>
              <w:t xml:space="preserve">Рейтинг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rPr>
                <w:vertAlign w:val="subscript"/>
              </w:rPr>
              <w:t xml:space="preserve"> </w:t>
            </w:r>
            <w:r>
              <w:t xml:space="preserve">определяется в баллах по следующей формуле: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/>
            <m:oMathPara>
              <m:oMathParaPr/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eastAsia="Cambria Math" w:cs="Cambria Math"/>
                      </w:rPr>
                      <m:rPr/>
                      <m:t>ЦБ</m:t>
                    </m:r>
                  </m:e>
                  <m:sub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sub>
                </m:sSub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</w:rPr>
                          <m:rPr/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</w:rPr>
                          <m:rPr>
                            <m:sty m:val="p"/>
                          </m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eastAsia="Cambria Math" w:cs="Cambria Math"/>
                      </w:rPr>
                      <m:rPr/>
                      <m:t>Ц</m:t>
                    </m:r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den>
                </m:f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 w:eastAsia="Cambria Math" w:cs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jc w:val="left"/>
              <w:spacing w:after="0"/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  <w:rPr>
                <w:i/>
              </w:rPr>
            </w:pPr>
            <w:r>
              <w:t xml:space="preserve">где:</w:t>
            </w:r>
            <w:r>
              <w:rPr>
                <w:i/>
              </w:rPr>
            </w:r>
          </w:p>
          <w:p>
            <w:pPr>
              <w:spacing w:after="0"/>
              <w:widowControl w:val="off"/>
              <w:rPr>
                <w:highlight w:val="yellow"/>
              </w:rPr>
            </w:pPr>
            <w:r>
              <w:rPr>
                <w:b/>
                <w:bCs/>
              </w:rPr>
              <w:t xml:space="preserve">ЦБ</w:t>
            </w:r>
            <w:r>
              <w:rPr>
                <w:b/>
                <w:bCs/>
                <w:vertAlign w:val="subscript"/>
                <w:lang w:val="en-US"/>
              </w:rPr>
              <w:t xml:space="preserve">i</w:t>
            </w:r>
            <w:r>
              <w:t xml:space="preserve"> – оценка (рейтинг) i-й заявки по критерию «Цена договора»;</w:t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i</w:t>
            </w:r>
            <w:r>
              <w:rPr>
                <w:b/>
                <w:color w:val="000000" w:themeColor="text1"/>
              </w:rPr>
              <w:t xml:space="preserve"> – условная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цена </w:t>
            </w:r>
            <w:r>
              <w:rPr>
                <w:lang w:val="en-US"/>
              </w:rPr>
              <w:t xml:space="preserve">i</w:t>
            </w:r>
            <w:r>
              <w:t xml:space="preserve">-го Участника закупки, (предложение) которого оценивается.</w:t>
            </w:r>
            <w:r/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min</w:t>
            </w:r>
            <w:r>
              <w:t xml:space="preserve"> – минимальная </w:t>
            </w: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из предложений, сделанных участниками закупки, заявки которых признаны соответствующими установленным отборочным требованиям.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предложений рассчитывае</w:t>
            </w:r>
            <w:r>
              <w:t xml:space="preserve">тся исходя из условного объема (условная единица), указанного в Коммерческом предложении (Приложение № 5 к настоящей документации), умноженного на предложение о коэффициенте понижения цены.</w:t>
            </w:r>
            <w:r/>
          </w:p>
          <w:p>
            <w:pPr>
              <w:spacing w:after="0"/>
              <w:widowControl w:val="off"/>
            </w:pPr>
            <w:r>
              <w:t xml:space="preserve">Полученное значение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t xml:space="preserve"> является балльной оценкой по ценовому крит</w:t>
            </w:r>
            <w:r>
              <w:t xml:space="preserve">ерию и учитывается при расчете итогового рейтинга заявки участника, с учетом весового коэффициента.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pStyle w:val="1427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с победителем закупки заключается по начальной (максимальной) цене договора (лота), установленной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пункте </w:t>
            </w:r>
            <w:hyperlink w:tooltip="#_Сведения_о_начальной" w:anchor="_Сведения_о" w:history="1">
              <w:r>
                <w:rPr>
                  <w:rStyle w:val="1360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7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включением в договор коэффициента тендерного снижения (предлагаемой скидки) от расчетов стоимости выполняемых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1427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427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  <w:lang w:eastAsia="en-US"/>
              </w:rPr>
              <w:t xml:space="preserve">Критерий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</w:rPr>
            </w:r>
          </w:p>
          <w:p>
            <w:pPr>
              <w:pStyle w:val="1427"/>
              <w:ind w:firstLine="0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  <w:t xml:space="preserve">«Опыт исполнения аналогичных договоров»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427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1427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62" w:type="dxa"/>
            <w:vMerge w:val="restart"/>
            <w:textDirection w:val="lrTb"/>
            <w:noWrap w:val="false"/>
          </w:tcPr>
          <w:p>
            <w:pPr>
              <w:ind w:left="13"/>
              <w:spacing w:before="14" w:after="14"/>
              <w:widowControl w:val="off"/>
            </w:pPr>
            <w:r>
              <w:t xml:space="preserve">Расчет рейтинга заявки по критерию «</w:t>
            </w:r>
            <w:r>
              <w:rPr>
                <w:b/>
              </w:rPr>
              <w:t xml:space="preserve">Опыт исполнения аналогичных договоров»</w:t>
            </w:r>
            <w:r>
              <w:t xml:space="preserve"> оценивается в баллах по формуле: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/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oi</m:t>
                    </m:r>
                  </m:sub>
                </m:sSub>
                <m:r>
                  <w:rPr>
                    <w:rFonts w:ascii="Cambria Math" w:hAnsi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m:rPr>
                            <m:nor m:val="on"/>
                          </m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где: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b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о</m:t>
                  </m:r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i</m:t>
                  </m:r>
                </m:sub>
              </m:sSub>
            </m:oMath>
            <w:r>
              <w:rPr>
                <w:b/>
                <w:bCs/>
              </w:rPr>
              <w:t xml:space="preserve"> </w:t>
            </w:r>
            <w:r>
              <w:t xml:space="preserve">– баллы, присуждаемые i-ой Заявке Участника по указанному критерию (без учета весового коэффициента);</w:t>
            </w:r>
            <w:r/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</w:rPr>
              <w:t xml:space="preserve">Оi</w:t>
            </w:r>
            <w:r>
              <w:t xml:space="preserve"> – опыт </w:t>
            </w:r>
            <w:r>
              <w:rPr>
                <w:highlight w:val="white"/>
              </w:rPr>
              <w:t xml:space="preserve">исполнения аналогичных договоров i-участником закупки (в ценовом выражении, без учета НДС). При этом, если величина опыта исполнения аналогичных договоров </w:t>
            </w:r>
            <w:r>
              <w:rPr>
                <w:highlight w:val="white"/>
                <w:lang w:val="en-US"/>
              </w:rPr>
              <w:t xml:space="preserve">i</w:t>
            </w:r>
            <w:r>
              <w:rPr>
                <w:highlight w:val="white"/>
              </w:rPr>
              <w:t xml:space="preserve">-участником закупки (в ценовом выражении) более чем в 10 (десять) раз превышает размер начальной (ма</w:t>
            </w:r>
            <w:r>
              <w:rPr>
                <w:highlight w:val="white"/>
              </w:rPr>
              <w:t xml:space="preserve">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60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, то рейтинг заявки этого участника по данному критерию равен 100 баллам.</w:t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О</w:t>
            </w:r>
            <w:r>
              <w:rPr>
                <w:b/>
                <w:bCs/>
                <w:highlight w:val="white"/>
                <w:vertAlign w:val="subscript"/>
                <w:lang w:val="en-US"/>
              </w:rPr>
              <w:t xml:space="preserve">max</w:t>
            </w:r>
            <w:r>
              <w:rPr>
                <w:highlight w:val="white"/>
              </w:rPr>
              <w:t xml:space="preserve"> – максима</w:t>
            </w:r>
            <w:r>
              <w:rPr>
                <w:highlight w:val="white"/>
              </w:rPr>
              <w:t xml:space="preserve">льное значение опыта исполнения аналогичных договоров (в ценовом выражении, без учета НДС) среди участников закупки, заявки которых признаны соответствующими установленным отборочным требованиям. При этом, если наибольшая величина опыта исполнения аналогич</w:t>
            </w:r>
            <w:r>
              <w:rPr>
                <w:highlight w:val="white"/>
              </w:rPr>
              <w:t xml:space="preserve">ных договоров среди всех участников закупки (в ценовом выражении) более чем в 10 (десять) раз превышает размер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60"/>
                </w:rPr>
                <w:t xml:space="preserve">7 час</w:t>
              </w:r>
              <w:r>
                <w:rPr>
                  <w:rStyle w:val="1360"/>
                </w:rPr>
                <w:t xml:space="preserve">ти II «ИНФОРМАЦИОННАЯ КАРТА ЗАКУПКИ»</w:t>
              </w:r>
            </w:hyperlink>
            <w:r>
              <w:rPr>
                <w:highlight w:val="white"/>
              </w:rPr>
              <w:t xml:space="preserve">, O</w:t>
            </w:r>
            <w:r>
              <w:rPr>
                <w:highlight w:val="white"/>
                <w:vertAlign w:val="subscript"/>
              </w:rPr>
              <w:t xml:space="preserve">max</w:t>
            </w:r>
            <w:r>
              <w:rPr>
                <w:highlight w:val="white"/>
              </w:rPr>
              <w:t xml:space="preserve"> принимается равным величине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60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 уве</w:t>
            </w:r>
            <w:r>
              <w:rPr>
                <w:highlight w:val="white"/>
              </w:rPr>
              <w:t xml:space="preserve">личенной в 10 (десять) раз.</w:t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Расчетный период –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pStyle w:val="1427"/>
              <w:ind w:left="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Аналогичными договорами являются дог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оворы на: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27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27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27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0,4 кВ до 15 кВ, мощностью от 1 до 150 кВт.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left="13"/>
              <w:spacing w:before="14" w:after="14"/>
              <w:widowControl w:val="off"/>
              <w:tabs>
                <w:tab w:val="left" w:pos="361" w:leader="none"/>
              </w:tabs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</w:t>
            </w:r>
            <w:r>
              <w:t xml:space="preserve">диной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</w:t>
            </w:r>
            <w:r>
              <w:t xml:space="preserve">ена), либо в актах выполненных работ. </w:t>
            </w:r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</w:pPr>
            <w:r>
              <w:rPr>
                <w:b/>
                <w:bCs/>
              </w:rPr>
              <w:t xml:space="preserve">Подтверждающие документы</w:t>
            </w:r>
            <w:r>
              <w:t xml:space="preserve">:</w:t>
            </w:r>
            <w:r/>
          </w:p>
          <w:p>
            <w:pPr>
              <w:pStyle w:val="1411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Спра_7" w:anchor="_ФОРМА_СПРА_6" w:history="1">
              <w:r>
                <w:rPr>
                  <w:rStyle w:val="1360"/>
                  <w:lang w:eastAsia="en-US"/>
                </w:rPr>
                <w:t xml:space="preserve">СПРАВКА О ПЕРЕЧНЕ И ОБЪЕМАХ ВЫПОЛНЕНИЯ АНАЛОГИЧНЫХ ДОГОВОРОВ ЗА 3 (ТРИ) ПОСЛЕДНИХ ГОДА</w:t>
              </w:r>
            </w:hyperlink>
            <w:r>
              <w:t xml:space="preserve"> </w:t>
            </w:r>
            <w:r>
              <w:rPr>
                <w:rStyle w:val="1360"/>
                <w:color w:val="000000" w:themeColor="text1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t xml:space="preserve">часть </w:t>
            </w:r>
            <w:hyperlink w:tooltip="#_III._ОБРАЗ" w:anchor="_III._ОБРАЗ" w:history="1">
              <w:r>
                <w:rPr>
                  <w:rStyle w:val="1360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60"/>
                <w:color w:val="000000" w:themeColor="text1"/>
                <w:u w:val="none"/>
                <w:lang w:eastAsia="en-US"/>
              </w:rPr>
              <w:t xml:space="preserve">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411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</w:pPr>
            <w:r>
              <w:t xml:space="preserve">копии исполненных аналогичных договоров, включающих все приложения к таким договорам, все дополнительные соглашения к ним;</w:t>
            </w:r>
            <w:r/>
          </w:p>
          <w:p>
            <w:pPr>
              <w:pStyle w:val="1411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>
              <w:t xml:space="preserve">копия последней «Справки о сто</w:t>
            </w:r>
            <w:r>
              <w:t xml:space="preserve">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lang w:eastAsia="en-US"/>
              </w:rPr>
            </w:r>
          </w:p>
          <w:p>
            <w:pPr>
              <w:ind w:left="13"/>
              <w:spacing w:after="0"/>
              <w:rPr>
                <w:b/>
                <w:color w:val="1f497d"/>
              </w:rPr>
            </w:pPr>
            <w:r>
              <w:rPr>
                <w:b/>
              </w:rPr>
              <w:t xml:space="preserve">или </w:t>
            </w:r>
            <w:r>
              <w:rPr>
                <w:b/>
                <w:color w:val="1f497d"/>
              </w:rPr>
            </w:r>
          </w:p>
          <w:p>
            <w:pPr>
              <w:pStyle w:val="1411"/>
              <w:numPr>
                <w:ilvl w:val="0"/>
                <w:numId w:val="42"/>
              </w:numPr>
              <w:ind w:left="0" w:firstLine="992"/>
            </w:pPr>
            <w:r>
              <w:t xml:space="preserve">копии «Актов о приемке выполненных работ» (форма КС-2 или иная форма в соответствии с условиями договора), содержащих все о</w:t>
            </w:r>
            <w:r>
              <w:t xml:space="preserve">бязательные реквизиты, установленные частью 2 статьи 9 Федерального закона «О бухгалтерском учете» от 06.12.2011 № 402-ФЗ.</w:t>
            </w:r>
            <w:r/>
          </w:p>
          <w:p>
            <w:pPr>
              <w:pStyle w:val="1427"/>
              <w:ind w:left="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3"/>
              <w:spacing w:after="0"/>
              <w:widowControl w:val="off"/>
            </w:pPr>
            <w: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</w:t>
            </w:r>
            <w:r>
              <w:t xml:space="preserve">ной участником информации, заявке такого участника, по данному критерию, присваивается </w:t>
            </w:r>
            <w:r>
              <w:rPr>
                <w:b/>
              </w:rPr>
              <w:t xml:space="preserve">0 баллов</w:t>
            </w:r>
            <w:r>
              <w:t xml:space="preserve">.</w:t>
            </w:r>
            <w:r/>
          </w:p>
        </w:tc>
      </w:tr>
    </w:tbl>
    <w:p>
      <w:pPr>
        <w:jc w:val="left"/>
        <w:spacing w:after="0"/>
      </w:pPr>
      <w:r/>
      <w:r/>
    </w:p>
    <w:p>
      <w:pPr>
        <w:pStyle w:val="1453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</w:t>
      </w:r>
      <w:r>
        <w:rPr>
          <w:rFonts w:eastAsia="Calibri"/>
          <w:lang w:eastAsia="en-US"/>
        </w:rPr>
        <w:t xml:space="preserve">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</w:t>
      </w:r>
      <w:r>
        <w:rPr>
          <w:rFonts w:eastAsia="Calibri"/>
          <w:lang w:eastAsia="en-US"/>
        </w:rPr>
        <w:t xml:space="preserve">ициентов:</w:t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b/>
          <w:bCs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= (R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x 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)</w:t>
      </w:r>
      <w:r>
        <w:rPr>
          <w:rFonts w:eastAsia="Calibri"/>
          <w:sz w:val="28"/>
          <w:szCs w:val="28"/>
          <w:lang w:val="en-US"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где:</w:t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Ri </w:t>
      </w:r>
      <w:r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- общий рейтинг предпочтительности i-й заявки;</w:t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 </w:t>
      </w:r>
      <w:r>
        <w:rPr>
          <w:rFonts w:eastAsia="Calibri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1 </w:t>
      </w:r>
      <w:r>
        <w:rPr>
          <w:rFonts w:eastAsia="Calibri"/>
          <w:lang w:eastAsia="en-US"/>
        </w:rPr>
        <w:t xml:space="preserve">- оценка в баллах по неценовому критерию №1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bCs/>
          <w:i/>
          <w:lang w:eastAsia="en-US"/>
        </w:rPr>
      </w:pPr>
      <w:r>
        <w:rPr>
          <w:rFonts w:eastAsia="Arial Unicode MS"/>
        </w:rPr>
        <w:t xml:space="preserve">V</w:t>
      </w:r>
      <w:r>
        <w:rPr>
          <w:rFonts w:eastAsia="Arial Unicode MS"/>
          <w:lang w:val="en-US"/>
        </w:rPr>
        <w:t xml:space="preserve">s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1</w:t>
      </w:r>
      <w:r>
        <w:rPr>
          <w:rFonts w:eastAsia="Arial Unicode MS"/>
        </w:rPr>
        <w:t xml:space="preserve"> – весовые коэффициенты соответствующих критериев</w:t>
      </w:r>
      <w:r>
        <w:rPr>
          <w:rFonts w:eastAsia="Calibri"/>
        </w:rPr>
        <w:t xml:space="preserve">.</w:t>
      </w:r>
      <w:r>
        <w:rPr>
          <w:rFonts w:eastAsia="Calibri"/>
          <w:bCs/>
          <w:i/>
          <w:lang w:eastAsia="en-US"/>
        </w:rPr>
      </w:r>
    </w:p>
    <w:p>
      <w:pPr>
        <w:pStyle w:val="1453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закупки.</w:t>
      </w:r>
      <w:r>
        <w:rPr>
          <w:rFonts w:eastAsia="Calibri"/>
          <w:lang w:eastAsia="en-US"/>
        </w:rPr>
      </w:r>
    </w:p>
    <w:p>
      <w:pPr>
        <w:pStyle w:val="1453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Наивысшее место в итоговом рейтинге (ранжировке) с учетом весовых коэф</w:t>
      </w:r>
      <w:r>
        <w:rPr>
          <w:rFonts w:eastAsia="Calibri"/>
          <w:lang w:eastAsia="en-US"/>
        </w:rPr>
        <w:t xml:space="preserve">фициентов значимости получает Заявка, имеющая максимальный общий рейтинг предпочтительности Заявки (Ri).</w:t>
      </w:r>
      <w:r>
        <w:rPr>
          <w:rFonts w:eastAsia="Calibri"/>
          <w:lang w:eastAsia="en-US"/>
        </w:rPr>
      </w:r>
    </w:p>
    <w:p>
      <w:pPr>
        <w:pStyle w:val="1453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</w:t>
      </w:r>
      <w:r>
        <w:rPr>
          <w:rFonts w:eastAsia="Calibri"/>
          <w:lang w:eastAsia="en-US"/>
        </w:rPr>
        <w:t xml:space="preserve">е итогового рейтинга используется для ранжирования заявок по степени предпочтительности.</w:t>
      </w:r>
      <w:r>
        <w:rPr>
          <w:rFonts w:eastAsia="Calibri"/>
          <w:lang w:eastAsia="en-US"/>
        </w:rPr>
      </w:r>
    </w:p>
    <w:p>
      <w:pPr>
        <w:pStyle w:val="1453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</w:t>
      </w:r>
      <w:r>
        <w:rPr>
          <w:rFonts w:eastAsia="Calibri"/>
          <w:lang w:eastAsia="en-US"/>
        </w:rPr>
        <w:t xml:space="preserve">угих заявок.</w:t>
      </w:r>
      <w:r>
        <w:rPr>
          <w:rFonts w:eastAsia="Calibri"/>
          <w:lang w:eastAsia="en-US"/>
        </w:rPr>
      </w:r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42"/>
        <w:ind w:left="0"/>
        <w:jc w:val="right"/>
      </w:pPr>
      <w:r/>
      <w:bookmarkStart w:id="156" w:name="_Приложение_1"/>
      <w:r/>
      <w:bookmarkStart w:id="157" w:name="_Приложение_№_2"/>
      <w:r/>
      <w:bookmarkEnd w:id="156"/>
      <w:r/>
      <w:bookmarkEnd w:id="157"/>
      <w:r>
        <w:rPr>
          <w:rFonts w:ascii="Times New Roman" w:hAnsi="Times New Roman" w:cs="Times New Roman"/>
        </w:rPr>
        <w:t xml:space="preserve">Приложение № 2 к части II «ИНФОРМАЦИОННАЯ КАРТА ЗАКУПКИ»</w:t>
      </w:r>
      <w:r>
        <w:t xml:space="preserve"> </w:t>
      </w:r>
      <w:r/>
    </w:p>
    <w:p>
      <w:pPr>
        <w:widowControl w:val="off"/>
      </w:pPr>
      <w:r/>
      <w:r/>
    </w:p>
    <w:p>
      <w:pPr>
        <w:ind w:firstLine="567"/>
        <w:widowControl w:val="off"/>
      </w:pPr>
      <w:r>
        <w:t xml:space="preserve">Сведения о начальной (максимальной) цене единицы товара, работы, услуги:</w:t>
      </w:r>
      <w:r/>
    </w:p>
    <w:p>
      <w:pPr>
        <w:widowControl w:val="off"/>
      </w:pPr>
      <w:r/>
      <w:r/>
    </w:p>
    <w:tbl>
      <w:tblPr>
        <w:tblpPr w:horzAnchor="text" w:tblpXSpec="left" w:vertAnchor="text" w:tblpY="1" w:leftFromText="180" w:topFromText="0" w:rightFromText="180" w:bottomFromText="0"/>
        <w:tblW w:w="4973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4496"/>
        <w:gridCol w:w="1541"/>
        <w:gridCol w:w="1821"/>
        <w:gridCol w:w="1817"/>
      </w:tblGrid>
      <w:tr>
        <w:tblPrEx/>
        <w:trPr>
          <w:trHeight w:val="271"/>
          <w:tblHeader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vMerge w:val="restart"/>
            <w:textDirection w:val="lrTb"/>
            <w:noWrap w:val="false"/>
          </w:tcPr>
          <w:p>
            <w:pPr>
              <w:widowControl w:val="off"/>
            </w:pPr>
            <w:r>
              <w:t xml:space="preserve">№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vMerge w:val="restart"/>
            <w:textDirection w:val="lrTb"/>
            <w:noWrap w:val="false"/>
          </w:tcPr>
          <w:p>
            <w:pPr>
              <w:widowControl w:val="off"/>
            </w:pPr>
            <w:r>
              <w:t xml:space="preserve">Наименование товара, работы, услуги 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Ед. изм.</w:t>
            </w:r>
            <w:r/>
          </w:p>
        </w:tc>
        <w:tc>
          <w:tcPr>
            <w:gridSpan w:val="2"/>
            <w:tcMar>
              <w:left w:w="56" w:type="dxa"/>
              <w:top w:w="28" w:type="dxa"/>
              <w:right w:w="56" w:type="dxa"/>
              <w:bottom w:w="28" w:type="dxa"/>
            </w:tcMar>
            <w:tcW w:w="1794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Цена за единицу</w:t>
            </w:r>
            <w:r/>
          </w:p>
        </w:tc>
      </w:tr>
      <w:tr>
        <w:tblPrEx/>
        <w:trPr>
          <w:trHeight w:val="271"/>
          <w:tblHeader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руб. без НДС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руб. с НДС</w:t>
            </w:r>
            <w:r/>
          </w:p>
        </w:tc>
      </w:tr>
      <w:tr>
        <w:tblPrEx/>
        <w:trPr>
          <w:trHeight w:val="529"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textDirection w:val="lrTb"/>
            <w:noWrap w:val="false"/>
          </w:tcPr>
          <w:p>
            <w:r>
              <w:rPr>
                <w:lang w:eastAsia="en-US"/>
              </w:rPr>
              <w:t xml:space="preserve">В</w:t>
            </w:r>
            <w:r>
              <w:rPr>
                <w:highlight w:val="white"/>
                <w:lang w:eastAsia="en-US"/>
              </w:rPr>
              <w:t xml:space="preserve">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1.1.17р)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усл. ед.</w:t>
            </w:r>
            <w:r/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50 000 000,00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61 000 000,00</w:t>
            </w:r>
            <w:r/>
          </w:p>
        </w:tc>
      </w:tr>
      <w:tr>
        <w:tblPrEx/>
        <w:trPr>
          <w:trHeight w:val="529"/>
        </w:trPr>
        <w:tc>
          <w:tcPr>
            <w:gridSpan w:val="3"/>
            <w:tcMar>
              <w:left w:w="56" w:type="dxa"/>
              <w:top w:w="28" w:type="dxa"/>
              <w:right w:w="56" w:type="dxa"/>
              <w:bottom w:w="28" w:type="dxa"/>
            </w:tcMar>
            <w:tcW w:w="5967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Итого:</w:t>
            </w:r>
            <w:r>
              <w:rPr>
                <w:b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50 000 000,00</w:t>
            </w:r>
            <w:r>
              <w:rPr>
                <w:b/>
              </w:rPr>
            </w:r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61 000 000,00</w:t>
            </w:r>
            <w:r>
              <w:rPr>
                <w:b/>
              </w:rPr>
            </w:r>
          </w:p>
        </w:tc>
      </w:tr>
    </w:tbl>
    <w:p>
      <w:pPr>
        <w:widowControl w:val="off"/>
      </w:pPr>
      <w:r/>
      <w:r/>
    </w:p>
    <w:p>
      <w:pPr>
        <w:ind w:firstLine="567"/>
        <w:widowControl w:val="off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t xml:space="preserve">Сведения о начальной (максимальной) цене единицы товара, работы, услуги указаны в части </w:t>
      </w:r>
      <w:hyperlink w:tooltip="#_ОБОСНОВАНИЕ_НМЦ" w:anchor="_ОБОСНОВАНИЕ_НМЦ" w:history="1">
        <w:r>
          <w:rPr>
            <w:rStyle w:val="1360"/>
          </w:rPr>
          <w:t xml:space="preserve">VI «ОБОСНОВАНИЕ НАЧАЛЬНОЙ (МАКСИМАЛЬНОЙ) ЦЕНЫ ДОГОВОРА»</w:t>
        </w:r>
      </w:hyperlink>
      <w:r>
        <w:t xml:space="preserve"> настоящей документации о закупке.</w:t>
      </w:r>
      <w:r/>
    </w:p>
    <w:p>
      <w:pPr>
        <w:pStyle w:val="1140"/>
        <w:numPr>
          <w:ilvl w:val="0"/>
          <w:numId w:val="4"/>
        </w:numPr>
        <w:ind w:left="0" w:firstLine="567"/>
        <w:pageBreakBefore/>
        <w:spacing w:before="0" w:after="0"/>
        <w:rPr>
          <w:rStyle w:val="1311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58" w:name="_III._ОБРАЗ"/>
      <w:r/>
      <w:bookmarkStart w:id="159" w:name="_РАЗДЕЛ_I_4_ОБРАЗЦЫ_ФОРМ_И_ДОКУМЕНТО"/>
      <w:r/>
      <w:bookmarkStart w:id="160" w:name="_ОБРАЗЦЫ_ФОРМ_ДЛЯ"/>
      <w:r/>
      <w:bookmarkStart w:id="161" w:name="_Ref119427310"/>
      <w:r/>
      <w:bookmarkStart w:id="162" w:name="_Ref166101288"/>
      <w:r/>
      <w:bookmarkStart w:id="163" w:name="_Ref166101291"/>
      <w:r/>
      <w:bookmarkStart w:id="164" w:name="_Ref166158276"/>
      <w:r/>
      <w:bookmarkStart w:id="165" w:name="_Ref166158279"/>
      <w:r/>
      <w:bookmarkStart w:id="166" w:name="_Ref166329210"/>
      <w:r/>
      <w:bookmarkStart w:id="167" w:name="_Ref166329212"/>
      <w:r/>
      <w:bookmarkStart w:id="168" w:name="_Ref166329217"/>
      <w:r/>
      <w:bookmarkStart w:id="169" w:name="_Toc46"/>
      <w:r/>
      <w:bookmarkEnd w:id="158"/>
      <w:r/>
      <w:bookmarkEnd w:id="159"/>
      <w:r/>
      <w:bookmarkEnd w:id="160"/>
      <w:r>
        <w:rPr>
          <w:rStyle w:val="1311"/>
          <w:rFonts w:ascii="Times New Roman" w:hAnsi="Times New Roman" w:cs="Times New Roman"/>
          <w:color w:val="auto"/>
          <w:sz w:val="28"/>
          <w:szCs w:val="28"/>
        </w:rPr>
        <w:t xml:space="preserve">ОБРАЗЦЫ ФОРМ ДЛЯ ЗА</w:t>
      </w:r>
      <w:r>
        <w:rPr>
          <w:rStyle w:val="1311"/>
          <w:rFonts w:ascii="Times New Roman" w:hAnsi="Times New Roman" w:cs="Times New Roman"/>
          <w:color w:val="auto"/>
          <w:sz w:val="28"/>
          <w:szCs w:val="28"/>
        </w:rPr>
        <w:t xml:space="preserve">ПОЛНЕНИЯ УЧАСТНИКАМИ ЗАКУПКИ</w:t>
      </w:r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/>
      <w:r>
        <w:rPr>
          <w:rStyle w:val="1311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pStyle w:val="1141"/>
        <w:ind w:left="0" w:firstLine="0"/>
        <w:tabs>
          <w:tab w:val="clear" w:pos="576" w:leader="none"/>
        </w:tabs>
        <w:rPr>
          <w:color w:val="000000" w:themeColor="text1"/>
          <w:sz w:val="24"/>
          <w:szCs w:val="24"/>
        </w:rPr>
      </w:pPr>
      <w:r/>
      <w:bookmarkStart w:id="170" w:name="_Toc47"/>
      <w:r>
        <w:rPr>
          <w:color w:val="000000" w:themeColor="text1"/>
          <w:sz w:val="24"/>
          <w:szCs w:val="24"/>
        </w:rPr>
        <w:t xml:space="preserve">ФОРМА ТЕХНИЧЕСКОЕ ПРЕДЛОЖЕНИЕ</w:t>
      </w:r>
      <w:bookmarkEnd w:id="170"/>
      <w:r/>
      <w:r>
        <w:rPr>
          <w:color w:val="000000" w:themeColor="text1"/>
          <w:sz w:val="24"/>
          <w:szCs w:val="24"/>
        </w:rPr>
      </w:r>
    </w:p>
    <w:p>
      <w:r/>
      <w:r/>
    </w:p>
    <w:p>
      <w:pPr>
        <w:jc w:val="center"/>
        <w:spacing w:after="0"/>
        <w:rPr>
          <w:b/>
        </w:rPr>
      </w:pPr>
      <w:r>
        <w:rPr>
          <w:b/>
        </w:rPr>
        <w:t xml:space="preserve">Предложение участника в отношении предмета закупки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</w:p>
    <w:p>
      <w:r>
        <w:rPr>
          <w:b/>
        </w:rPr>
        <w:t xml:space="preserve"> 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t xml:space="preserve">Наименование закупки _______________________________________ Лот № _______</w:t>
      </w:r>
      <w:r/>
    </w:p>
    <w:p>
      <w:pPr>
        <w:ind w:firstLine="567"/>
        <w:spacing w:after="0"/>
      </w:pPr>
      <w:r>
        <w:t xml:space="preserve">Номер извещения о проведении закупки в ЕИС: _______________________________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rPr>
          <w:bCs/>
        </w:rPr>
        <w:t xml:space="preserve">Настоящим выражаем свое согласие на выполнение работ в полном соответствии с документацией о закупке, в том числе в соответствии с требованиями разделов «ТЕХНИЧЕСКАЯ ЧАСТЬ» и «ПРО</w:t>
      </w:r>
      <w:r>
        <w:rPr>
          <w:bCs/>
        </w:rPr>
        <w:t xml:space="preserve">ЕКТ ДОГОВОРА» документации о закупке.  </w:t>
      </w:r>
      <w:r/>
    </w:p>
    <w:p>
      <w:pPr>
        <w:ind w:firstLine="567"/>
        <w:spacing w:after="0"/>
      </w:pPr>
      <w:r/>
      <w:r/>
    </w:p>
    <w:p>
      <w:pPr>
        <w:ind w:firstLine="567"/>
        <w:spacing w:before="120"/>
        <w:rPr>
          <w:color w:val="0000cc"/>
        </w:rPr>
      </w:pPr>
      <w:r>
        <w:rPr>
          <w:color w:val="0000cc"/>
        </w:rPr>
        <w:t xml:space="preserve">Приложение: Техническое предложение на выполнение работ в редактируемом формате на ____ л.</w:t>
      </w:r>
      <w:r>
        <w:rPr>
          <w:color w:val="0000cc"/>
        </w:rPr>
      </w:r>
    </w:p>
    <w:p>
      <w:pPr>
        <w:jc w:val="left"/>
        <w:spacing w:after="0"/>
      </w:pPr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rPr>
          <w:b/>
          <w:bCs/>
        </w:rPr>
      </w:pPr>
      <w:r>
        <w:rPr>
          <w:b/>
        </w:rPr>
        <w:t xml:space="preserve">Инструкции по заполнению:</w:t>
      </w:r>
      <w:r>
        <w:rPr>
          <w:b/>
          <w:bCs/>
        </w:rPr>
      </w:r>
    </w:p>
    <w:p>
      <w:pPr>
        <w:pStyle w:val="1453"/>
        <w:numPr>
          <w:ilvl w:val="0"/>
          <w:numId w:val="43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color w:val="000000" w:themeColor="text1"/>
        </w:rPr>
      </w:r>
    </w:p>
    <w:p>
      <w:pPr>
        <w:pStyle w:val="1453"/>
        <w:numPr>
          <w:ilvl w:val="0"/>
          <w:numId w:val="43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У</w:t>
      </w:r>
      <w:r>
        <w:rPr>
          <w:color w:val="000000" w:themeColor="text1"/>
        </w:rPr>
        <w:t xml:space="preserve">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color w:val="000000" w:themeColor="text1"/>
        </w:rPr>
      </w:r>
    </w:p>
    <w:p>
      <w:pPr>
        <w:pStyle w:val="1453"/>
        <w:numPr>
          <w:ilvl w:val="0"/>
          <w:numId w:val="43"/>
        </w:numPr>
        <w:ind w:left="0" w:firstLine="709"/>
        <w:jc w:val="both"/>
      </w:pPr>
      <w:r>
        <w:t xml:space="preserve">В техническом предложении на выполнение работ Участником закупки выражается </w:t>
      </w:r>
      <w:r>
        <w:rPr>
          <w:bCs/>
        </w:rPr>
        <w:t xml:space="preserve">согласие на выполнение р</w:t>
      </w:r>
      <w:r>
        <w:rPr>
          <w:bCs/>
        </w:rPr>
        <w:t xml:space="preserve">абот в полном соответствии с документацией о закупке, в том числе в соответствии с требованиями «ТЕХНИЧЕСКОЙ ЧАСТИ» и «ПРОЕКТА ДОГОВОРА» документации о закупке. В случае, если участник предлагает какие-либо изменения либо дополнения относительно требований</w:t>
      </w:r>
      <w:r>
        <w:rPr>
          <w:bCs/>
        </w:rPr>
        <w:t xml:space="preserve">, изложенных в «ТЕХНИЧЕСКОЙ ЧАСТИ» и «ПРОЕКТЕ ДОГОВОРА», участник должен </w:t>
      </w:r>
      <w:r>
        <w:t xml:space="preserve">подробно и развернуто указать об этом в техническом предложении. В последнем случае в техническом предложении указывается фраза: «</w:t>
      </w:r>
      <w:r>
        <w:rPr>
          <w:bCs/>
        </w:rPr>
        <w:t xml:space="preserve">Настоящим выражаем свое согласие на выполнение работ </w:t>
      </w:r>
      <w:r>
        <w:rPr>
          <w:bCs/>
        </w:rPr>
        <w:t xml:space="preserve">в соответствии с документацией о закупке, в том числе в соответствии с требованиями «ТЕХНИЧЕСКОЙ ЧАСТИ» и «ПРОЕКТА ДОГОВОРА» документации о закупке с учетом следующих предложений: … (далее </w:t>
      </w:r>
      <w:r>
        <w:t xml:space="preserve">подробно и развернуто указываются предложения</w:t>
      </w:r>
      <w:r>
        <w:rPr>
          <w:bCs/>
        </w:rPr>
        <w:t xml:space="preserve">)</w:t>
      </w:r>
      <w:r>
        <w:t xml:space="preserve">.</w:t>
      </w:r>
      <w:r/>
    </w:p>
    <w:p>
      <w:pPr>
        <w:pStyle w:val="1453"/>
        <w:numPr>
          <w:ilvl w:val="0"/>
          <w:numId w:val="43"/>
        </w:numPr>
        <w:ind w:left="0" w:firstLine="709"/>
        <w:jc w:val="both"/>
      </w:pPr>
      <w:r>
        <w:t xml:space="preserve">Техническое предлож</w:t>
      </w:r>
      <w:r>
        <w:t xml:space="preserve">ение на выполнение работ и поставок будет служить основой для подготовки соответствующего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</w:t>
      </w:r>
      <w:r>
        <w:t xml:space="preserve">овить так, чтобы ее можно было с минимальными изменениями включить в Договор.</w:t>
      </w:r>
      <w:r/>
    </w:p>
    <w:p>
      <w:pPr>
        <w:pStyle w:val="1453"/>
        <w:numPr>
          <w:ilvl w:val="0"/>
          <w:numId w:val="43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pStyle w:val="1453"/>
        <w:numPr>
          <w:ilvl w:val="0"/>
          <w:numId w:val="43"/>
        </w:numPr>
        <w:ind w:left="0" w:firstLine="709"/>
        <w:jc w:val="both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41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71" w:name="_Toc48"/>
      <w:r>
        <w:rPr>
          <w:sz w:val="24"/>
          <w:szCs w:val="24"/>
        </w:rPr>
        <w:t xml:space="preserve">ФОРМА ПИСЬМО О ПОДАЧЕ ОФЕРТЫ</w:t>
      </w:r>
      <w:bookmarkEnd w:id="171"/>
      <w:r/>
      <w:r>
        <w:rPr>
          <w:sz w:val="24"/>
          <w:szCs w:val="24"/>
        </w:rPr>
      </w:r>
    </w:p>
    <w:p>
      <w:pPr>
        <w:jc w:val="center"/>
      </w:pPr>
      <w:r>
        <w:t xml:space="preserve"> (</w:t>
      </w:r>
      <w:r>
        <w:rPr>
          <w:i/>
        </w:rPr>
        <w:t xml:space="preserve">документ изготавливается на фирменном бл</w:t>
      </w:r>
      <w:r>
        <w:rPr>
          <w:i/>
        </w:rPr>
        <w:t xml:space="preserve">анке организации участника закупки (для участников юридических лиц</w:t>
      </w:r>
      <w:r>
        <w:t xml:space="preserve">)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lef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</w:rPr>
      </w:pPr>
      <w:r>
        <w:rPr>
          <w:b/>
        </w:rPr>
        <w:t xml:space="preserve">Письмо о подаче оферты</w:t>
      </w:r>
      <w:r>
        <w:rPr>
          <w:b/>
        </w:rPr>
      </w:r>
    </w:p>
    <w:p>
      <w:pPr>
        <w:ind w:right="-1"/>
        <w:spacing w:after="0"/>
        <w:tabs>
          <w:tab w:val="left" w:pos="9355" w:leader="none"/>
        </w:tabs>
      </w:pPr>
      <w:r>
        <w:t xml:space="preserve">«_____»___________ 202_ г.                                                                                  №__________</w:t>
      </w:r>
      <w:r/>
    </w:p>
    <w:p>
      <w:pPr>
        <w:jc w:val="left"/>
      </w:pPr>
      <w:r/>
      <w:r/>
    </w:p>
    <w:p>
      <w:pPr>
        <w:jc w:val="center"/>
      </w:pPr>
      <w:r>
        <w:rPr>
          <w:iCs/>
        </w:rPr>
        <w:t xml:space="preserve">Уважаемые господа!</w:t>
      </w:r>
      <w:r/>
    </w:p>
    <w:p>
      <w:pPr>
        <w:ind w:firstLine="567"/>
        <w:spacing w:before="120"/>
        <w:rPr>
          <w:iCs/>
        </w:rPr>
      </w:pPr>
      <w:r>
        <w:rPr>
          <w:iCs/>
        </w:rPr>
        <w:t xml:space="preserve">Изучив извещение и док</w:t>
      </w:r>
      <w:r>
        <w:rPr>
          <w:iCs/>
        </w:rPr>
        <w:t xml:space="preserve">ументацию о закупке (включая все изменения и разъяснения к ней), размещенные в единой информационной системе в сфере закупок по адресу в сети Интернет «www.zakupki.gov.ru» (далее – ЕИС, Официальный сайт) от «___» __________ 202_ года (извещение №__________</w:t>
      </w:r>
      <w:r>
        <w:rPr>
          <w:iCs/>
        </w:rPr>
        <w:t xml:space="preserve">___), и безоговорочно принимая установленные в них требования и условия участия в закупке, в том числе в отношении технического задания, проекта договора, условия о подсудности разрешения споров по договору, порядка заключения договора, заключаемого по ито</w:t>
      </w:r>
      <w:r>
        <w:rPr>
          <w:iCs/>
        </w:rPr>
        <w:t xml:space="preserve">гам закупки, мы, являясь участником процедуры закупки / [или]лидером коллективного участника [выбрать необходимое], предлагаем заключить Договор на: ______________________________________________</w:t>
      </w:r>
      <w:r>
        <w:rPr>
          <w:bCs/>
          <w:i/>
          <w:spacing w:val="-6"/>
        </w:rPr>
        <w:t xml:space="preserve">[</w:t>
      </w:r>
      <w:r>
        <w:rPr>
          <w:bCs/>
          <w:i/>
        </w:rPr>
        <w:t xml:space="preserve">указывается предмет договора в соответствии с пунктом 3 част</w:t>
      </w:r>
      <w:r>
        <w:rPr>
          <w:bCs/>
          <w:i/>
        </w:rPr>
        <w:t xml:space="preserve">и II «ИНФОРМАЦИОННАЯ КАРТА ЗАКУПКИ»</w:t>
      </w:r>
      <w:r>
        <w:rPr>
          <w:bCs/>
          <w:i/>
          <w:spacing w:val="-6"/>
        </w:rPr>
        <w:t xml:space="preserve">]</w:t>
      </w:r>
      <w:r>
        <w:rPr>
          <w:bCs/>
          <w:spacing w:val="-6"/>
        </w:rPr>
        <w:t xml:space="preserve">.</w:t>
      </w:r>
      <w:r>
        <w:rPr>
          <w:iCs/>
        </w:rPr>
      </w:r>
    </w:p>
    <w:p>
      <w:pPr>
        <w:spacing w:after="0"/>
        <w:rPr>
          <w:bCs/>
          <w:i/>
          <w:spacing w:val="-6"/>
        </w:rPr>
      </w:pPr>
      <w:r>
        <w:rPr>
          <w:bCs/>
          <w:i/>
          <w:spacing w:val="-6"/>
        </w:rPr>
      </w:r>
      <w:r>
        <w:rPr>
          <w:bCs/>
          <w:i/>
          <w:spacing w:val="-6"/>
        </w:rPr>
      </w:r>
    </w:p>
    <w:p>
      <w:pPr>
        <w:ind w:firstLine="567"/>
        <w:spacing w:before="120" w:after="0"/>
        <w:rPr>
          <w:b/>
        </w:rPr>
      </w:pPr>
      <w:r>
        <w:rPr>
          <w:b/>
        </w:rPr>
        <w:t xml:space="preserve">Настоящая заявка имеет правовой статус оферты и действует в течение 90 (девяносто) календарных дней со дня, следующего за днем окончания подачи заявок.</w:t>
      </w:r>
      <w:r>
        <w:rPr>
          <w:b/>
        </w:rPr>
      </w:r>
    </w:p>
    <w:p>
      <w:pPr>
        <w:ind w:firstLine="567"/>
        <w:spacing w:before="120" w:after="0"/>
      </w:pPr>
      <w:r>
        <w:rPr>
          <w:iCs/>
        </w:rPr>
        <w:t xml:space="preserve">Данная заявка подается с пониманием того, что </w:t>
      </w:r>
      <w:r>
        <w:t xml:space="preserve">вы не отвечаете и н</w:t>
      </w:r>
      <w:r>
        <w:t xml:space="preserve">е имеете обязательств по нашим расходам, связанным с подготовкой и подачей данной заявки за исключением случаев, прямо оговоренных в законодательстве.</w:t>
      </w:r>
      <w:r/>
    </w:p>
    <w:p>
      <w:pPr>
        <w:ind w:firstLine="567"/>
        <w:spacing w:after="0"/>
      </w:pPr>
      <w:r>
        <w:t xml:space="preserve">______________ (</w:t>
      </w:r>
      <w:r>
        <w:rPr>
          <w:i/>
        </w:rPr>
        <w:t xml:space="preserve">Наименование Участника закупки, при подаче заявки коллективным участником указывается Лид</w:t>
      </w:r>
      <w:r>
        <w:rPr>
          <w:i/>
        </w:rPr>
        <w:t xml:space="preserve">ер и состав коллективного участника</w:t>
      </w:r>
      <w:r>
        <w:t xml:space="preserve">)</w:t>
      </w:r>
      <w:r>
        <w:rPr>
          <w:iCs/>
        </w:rPr>
        <w:t xml:space="preserve"> </w:t>
      </w:r>
      <w:r>
        <w:t xml:space="preserve">при подаче настоящей оферты принимает на себя следующие обязательства, связанные с подачей заявки: 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</w:t>
      </w:r>
      <w:r>
        <w:t xml:space="preserve">чания подачи заявок;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заключить Договор в установленном в документации о закупке порядке, в случае признания ____________________ (</w:t>
      </w:r>
      <w:r>
        <w:rPr>
          <w:i/>
        </w:rPr>
        <w:t xml:space="preserve">Наименование Уча</w:t>
      </w:r>
      <w:r>
        <w:rPr>
          <w:i/>
        </w:rPr>
        <w:t xml:space="preserve">стника закупки, при подаче заявки коллективным участником указывается Лидер и состав коллективного участника</w:t>
      </w:r>
      <w:r>
        <w:t xml:space="preserve">) Победителем, либо единственным Участником, соответствующим требованиям документации.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Мы подтверждаем свое согласие участвовать в вышеуказанной зак</w:t>
      </w:r>
      <w:r>
        <w:rPr>
          <w:iCs/>
        </w:rPr>
        <w:t xml:space="preserve">упке на условиях, установленных документацией о закупке, регламентом ЭТП и Положением о закупке, а также выполнить работы на условиях проекта договора, представленного в составе документации о закупке, со всеми приложениями к нему.</w:t>
      </w:r>
      <w:r>
        <w:rPr>
          <w:iCs/>
        </w:rPr>
      </w:r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Настоящим подтверждаем, </w:t>
      </w:r>
      <w:r>
        <w:rPr>
          <w:iCs/>
        </w:rPr>
        <w:t xml:space="preserve">что в отношении </w:t>
      </w:r>
      <w:r>
        <w:t xml:space="preserve">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 не проводится процедура ликвидации, отсутствует решение арбитражного суда о признании несостоятельным (банкротом) </w:t>
      </w:r>
      <w:r>
        <w:t xml:space="preserve">или об открытии конкурсного производства</w:t>
      </w:r>
      <w:r>
        <w:rPr>
          <w:iCs/>
        </w:rPr>
        <w:t xml:space="preserve">, деятельность не </w:t>
      </w:r>
      <w:r>
        <w:rPr>
          <w:iCs/>
        </w:rPr>
        <w:t xml:space="preserve">приостановлена, а также, что размер задолженности по налогам, сборам и иным обязательным платежам в бюджеты </w:t>
      </w:r>
      <w:r>
        <w:t xml:space="preserve">бюджетной системы Российской Федерации</w:t>
      </w:r>
      <w:r>
        <w:rPr>
          <w:iCs/>
        </w:rPr>
        <w:t xml:space="preserve"> за прошедший календарный год не превышает 25% (двадцати пяти процентов) балансовой стоимости активов по данны</w:t>
      </w:r>
      <w:r>
        <w:rPr>
          <w:iCs/>
        </w:rPr>
        <w:t xml:space="preserve">м бухгалтерской отчетности за последний завершенный отчетный период.</w:t>
      </w:r>
      <w:r>
        <w:rPr>
          <w:iCs/>
        </w:rPr>
      </w:r>
    </w:p>
    <w:p>
      <w:pPr>
        <w:ind w:firstLine="567"/>
        <w:spacing w:before="120" w:after="0"/>
      </w:pPr>
      <w:r>
        <w:t xml:space="preserve">Также подтверждаем отсутствие у 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у руководителя, членов коллегиального исполнительного органа или главного бухгалтера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о</w:t>
      </w:r>
      <w:r>
        <w:t xml:space="preserve">граничения или лишения дееспособности,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</w:t>
      </w:r>
      <w:r>
        <w:t xml:space="preserve">ой деятельностью, которые связаны с исполнением договора, и административного наказания в виде дисквалификации.</w:t>
      </w:r>
      <w:r/>
    </w:p>
    <w:p>
      <w:pPr>
        <w:ind w:firstLine="567"/>
        <w:spacing w:before="120" w:after="0"/>
      </w:pPr>
      <w:r>
        <w:t xml:space="preserve">В соответствии с обязательными требованиями к участникам закупки подтверждаем наличие у нас специальных допусков, разрешений, лицензий и прочих </w:t>
      </w:r>
      <w:r>
        <w:t xml:space="preserve">разрешительных документов в соответствии с законодательством для исполнения обязательств по предмету договора.</w:t>
      </w:r>
      <w:r/>
    </w:p>
    <w:p>
      <w:pPr>
        <w:ind w:firstLine="567"/>
        <w:spacing w:before="120" w:after="0"/>
      </w:pPr>
      <w:r>
        <w:t xml:space="preserve">В соответствии с дополнительными требованиями к участникам закупки подтверждаем отсутствие сведений обо мне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в реестре недобросовестных поставщиков (подрядчиков, исполнителей), предусмотренном Федеральным законом от 18.07.2011 № 223-ФЗ «О закупках товаров, работ, услуг отдельными видами юридических лиц»</w:t>
      </w:r>
      <w:r>
        <w:rPr>
          <w:iCs/>
        </w:rPr>
        <w:t xml:space="preserve"> и</w:t>
      </w:r>
      <w:r>
        <w:t xml:space="preserve"> в реестре недобро</w:t>
      </w:r>
      <w:r>
        <w:t xml:space="preserve">совестных поставщиков, предусмотренном Федеральным законом от 05.04.2013 N 44-ФЗ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В случае признания нас победителем закупки, а также в случа</w:t>
      </w:r>
      <w:r>
        <w:rPr>
          <w:iCs/>
        </w:rPr>
        <w:t xml:space="preserve">е принятия заказчиком решения о заключении с нами договора как </w:t>
      </w:r>
      <w:r>
        <w:t xml:space="preserve">с единственным участником конкурентной закупки </w:t>
      </w:r>
      <w:r>
        <w:rPr>
          <w:iCs/>
        </w:rPr>
        <w:t xml:space="preserve">мы берем на себя обязательства подписать со своей стороны договор в соответствии с требованиями документации о закупке и условиями нашей заявки.</w:t>
      </w:r>
      <w:r>
        <w:rPr>
          <w:iCs/>
        </w:rPr>
      </w:r>
    </w:p>
    <w:p>
      <w:pPr>
        <w:ind w:firstLine="567"/>
        <w:spacing w:before="120"/>
        <w:rPr>
          <w:iCs/>
        </w:rPr>
      </w:pPr>
      <w:r>
        <w:rPr>
          <w:iCs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документации о закупке и условия</w:t>
      </w:r>
      <w:r>
        <w:rPr>
          <w:iCs/>
        </w:rPr>
        <w:t xml:space="preserve">ми нашей заявки.</w:t>
      </w:r>
      <w:r>
        <w:rPr>
          <w:iCs/>
        </w:rPr>
      </w:r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крупной сделки в связи с заключением договора на условиях нашей заявки не требуется.</w:t>
      </w:r>
      <w:r>
        <w:rPr>
          <w:rStyle w:val="1343"/>
        </w:rPr>
        <w:footnoteReference w:id="18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</w:t>
      </w:r>
      <w:r>
        <w:rPr>
          <w:iCs/>
        </w:rPr>
        <w:t xml:space="preserve">е учредительными документами решение об </w:t>
      </w:r>
      <w:r>
        <w:t xml:space="preserve">одобрении и/или о совершении сделки с заинтересованностью в связи с заключением договора на условиях нашей заявки не требуется.</w:t>
      </w:r>
      <w:r>
        <w:rPr>
          <w:rStyle w:val="1343"/>
        </w:rPr>
        <w:footnoteReference w:id="19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документами, указаниями собс</w:t>
      </w:r>
      <w:r>
        <w:rPr>
          <w:iCs/>
        </w:rPr>
        <w:t xml:space="preserve">твенника, иных органов управления подтверждает соблюдение порядка совершения сделки, в том числе получения предварительного согласия (одобрения, согласования) сделки и соблюдения всех требуемых корпоративных требований.</w:t>
      </w:r>
      <w:r>
        <w:rPr>
          <w:rStyle w:val="1343"/>
          <w:iCs/>
        </w:rPr>
        <w:footnoteReference w:id="20"/>
      </w:r>
      <w:r/>
    </w:p>
    <w:p>
      <w:pPr>
        <w:ind w:firstLine="567"/>
        <w:spacing w:before="120" w:after="0"/>
        <w:rPr>
          <w:iCs/>
        </w:rPr>
      </w:pPr>
      <w:r>
        <w:t xml:space="preserve">Настоящей заявкой гарантируем досто</w:t>
      </w:r>
      <w:r>
        <w:t xml:space="preserve">верность представленной нами информации и подтверждаем право Организатора закупки (Заказчика), не противоречащее требованию о формировании равных для всех Участников закупки условий, запрашивать у нас, в уполномоченных органах власти и в упомянутых в нашей</w:t>
      </w:r>
      <w:r>
        <w:t xml:space="preserve"> заявке юридических и физических лиц информацию, уточняющую представленные нами в ней сведения.</w:t>
      </w:r>
      <w:r>
        <w:rPr>
          <w:iCs/>
        </w:rPr>
      </w:r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firstLine="567"/>
        <w:jc w:val="left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pStyle w:val="1453"/>
        <w:numPr>
          <w:ilvl w:val="0"/>
          <w:numId w:val="45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53"/>
        <w:numPr>
          <w:ilvl w:val="0"/>
          <w:numId w:val="45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53"/>
        <w:numPr>
          <w:ilvl w:val="0"/>
          <w:numId w:val="45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453"/>
        <w:numPr>
          <w:ilvl w:val="0"/>
          <w:numId w:val="45"/>
        </w:numPr>
        <w:ind w:left="0" w:firstLine="709"/>
        <w:jc w:val="both"/>
      </w:pPr>
      <w:r>
        <w:t xml:space="preserve">Форма составляется на фирменном </w:t>
      </w:r>
      <w:r>
        <w:t xml:space="preserve">бланке Участника закупки.</w:t>
      </w:r>
      <w:r/>
    </w:p>
    <w:p>
      <w:pPr>
        <w:pStyle w:val="1453"/>
        <w:numPr>
          <w:ilvl w:val="0"/>
          <w:numId w:val="45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  <w:br w:type="page" w:clear="all"/>
      </w:r>
      <w:r/>
    </w:p>
    <w:p>
      <w:pPr>
        <w:pStyle w:val="1141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72" w:name="_Toc49"/>
      <w:r>
        <w:rPr>
          <w:sz w:val="24"/>
          <w:szCs w:val="24"/>
        </w:rPr>
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</w:r>
      <w:bookmarkEnd w:id="172"/>
      <w:r/>
      <w:r>
        <w:rPr>
          <w:sz w:val="24"/>
          <w:szCs w:val="24"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</w:rPr>
        <w:t xml:space="preserve">План распределения объемов выполнения работ/оказания услуг между членами коллективного участника (консорциума, простого товарищества)</w:t>
      </w:r>
      <w:r>
        <w:rPr>
          <w:b/>
          <w:bCs/>
        </w:rPr>
      </w:r>
    </w:p>
    <w:p>
      <w:pPr>
        <w:ind w:left="-142"/>
        <w:spacing w:after="0"/>
      </w:pPr>
      <w:r/>
      <w:r/>
    </w:p>
    <w:p>
      <w:pPr>
        <w:ind w:left="-142"/>
        <w:spacing w:after="0"/>
      </w:pPr>
      <w:r/>
      <w:r/>
    </w:p>
    <w:p>
      <w:pPr>
        <w:spacing w:after="0"/>
      </w:pPr>
      <w:r>
        <w:t xml:space="preserve">Наименование закупки __________________________________ Лот № _________________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 (Лидера коллективного участника): _________________</w:t>
      </w:r>
      <w:r/>
    </w:p>
    <w:p>
      <w:pPr>
        <w:spacing w:after="0"/>
      </w:pPr>
      <w:r>
        <w:t xml:space="preserve">Юридический адрес участника закупки (Лидера коллективного участника): 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(№1)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(№2)</w:t>
      </w:r>
      <w:r>
        <w:t xml:space="preserve">: ____________________</w:t>
      </w:r>
      <w:r/>
    </w:p>
    <w:p>
      <w:pPr>
        <w:spacing w:after="0"/>
      </w:pPr>
      <w:r>
        <w:t xml:space="preserve">Юридически</w:t>
      </w:r>
      <w:r>
        <w:t xml:space="preserve">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(№Х)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after="0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45"/>
        <w:gridCol w:w="1760"/>
        <w:gridCol w:w="1985"/>
        <w:gridCol w:w="3402"/>
        <w:gridCol w:w="1556"/>
      </w:tblGrid>
      <w:tr>
        <w:tblPrEx/>
        <w:trPr>
          <w:trHeight w:val="1988"/>
        </w:trPr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40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40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 xml:space="preserve">работ</w:t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40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организации, выполняющий данный объем работ</w:t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0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работ и поставок в % от общей стоимости работ</w:t>
            </w:r>
            <w:r>
              <w:rPr>
                <w:sz w:val="22"/>
                <w:szCs w:val="22"/>
              </w:rPr>
            </w:r>
          </w:p>
          <w:p>
            <w:pPr>
              <w:pStyle w:val="14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(выражается исключительно в процентах от общей стоимости работ предлагаемой участником в ценовом предложении)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0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выполнения (начало и </w:t>
            </w:r>
            <w:r>
              <w:rPr>
                <w:sz w:val="22"/>
                <w:szCs w:val="22"/>
              </w:rPr>
              <w:t xml:space="preserve">окончание)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42"/>
              <w:numPr>
                <w:ilvl w:val="0"/>
                <w:numId w:val="46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42"/>
              <w:numPr>
                <w:ilvl w:val="0"/>
                <w:numId w:val="46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42"/>
              <w:ind w:left="0"/>
            </w:pPr>
            <w:r>
              <w:t xml:space="preserve">…</w:t>
            </w:r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Лидеру коллективного Участника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1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2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2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pStyle w:val="1442"/>
              <w:jc w:val="center"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42"/>
              <w:jc w:val="center"/>
              <w:rPr>
                <w:b/>
              </w:rPr>
            </w:pPr>
            <w:r>
              <w:rPr>
                <w:b/>
              </w:rPr>
              <w:t xml:space="preserve">100%</w:t>
            </w:r>
            <w:r>
              <w:rPr>
                <w:b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42"/>
              <w:jc w:val="center"/>
              <w:rPr>
                <w:b/>
              </w:rPr>
            </w:pPr>
            <w:r>
              <w:rPr>
                <w:b/>
              </w:rPr>
              <w:t xml:space="preserve">Х</w:t>
            </w:r>
            <w:r>
              <w:rPr>
                <w:b/>
              </w:rPr>
            </w:r>
          </w:p>
        </w:tc>
      </w:tr>
    </w:tbl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</w:p>
    <w:p>
      <w:pPr>
        <w:ind w:right="4111"/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pStyle w:val="1453"/>
        <w:numPr>
          <w:ilvl w:val="0"/>
          <w:numId w:val="47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53"/>
        <w:numPr>
          <w:ilvl w:val="0"/>
          <w:numId w:val="47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53"/>
        <w:numPr>
          <w:ilvl w:val="0"/>
          <w:numId w:val="47"/>
        </w:numPr>
        <w:ind w:left="0" w:firstLine="709"/>
        <w:jc w:val="both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 Лидера коллективного участника.</w:t>
      </w:r>
      <w:r/>
    </w:p>
    <w:p>
      <w:pPr>
        <w:pStyle w:val="1453"/>
        <w:numPr>
          <w:ilvl w:val="0"/>
          <w:numId w:val="47"/>
        </w:numPr>
        <w:ind w:left="0" w:firstLine="709"/>
        <w:jc w:val="both"/>
      </w:pPr>
      <w:r>
        <w:t xml:space="preserve">Участник закупки приводит наименования юридических лиц и адреса мест нахождения, либо фамилии,</w:t>
      </w:r>
      <w:r>
        <w:t xml:space="preserve"> имена, отчества, паспортные данные, адреса прописки (адреса регистрации) физических лиц, в том числе индивидуальных предпринимателей, членов коллективного участника.</w:t>
      </w:r>
      <w:r/>
    </w:p>
    <w:p>
      <w:pPr>
        <w:pStyle w:val="1453"/>
        <w:numPr>
          <w:ilvl w:val="0"/>
          <w:numId w:val="47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453"/>
        <w:numPr>
          <w:ilvl w:val="0"/>
          <w:numId w:val="47"/>
        </w:numPr>
        <w:ind w:left="0" w:firstLine="709"/>
        <w:jc w:val="both"/>
      </w:pPr>
      <w:r>
        <w:rPr>
          <w:b/>
        </w:rPr>
        <w:t xml:space="preserve">Данная форма заполняется и пред</w:t>
      </w:r>
      <w:r>
        <w:rPr>
          <w:b/>
        </w:rPr>
        <w:t xml:space="preserve">оставляется в случае участия коллективных участников</w:t>
      </w:r>
      <w:r>
        <w:t xml:space="preserve">.</w:t>
      </w:r>
      <w:r/>
    </w:p>
    <w:p>
      <w:pPr>
        <w:pStyle w:val="1453"/>
        <w:ind w:left="426"/>
        <w:jc w:val="both"/>
        <w:rPr>
          <w:b/>
        </w:rPr>
      </w:pPr>
      <w:r>
        <w:rPr>
          <w:b/>
        </w:rPr>
      </w:r>
      <w:r>
        <w:rPr>
          <w:b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1141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73" w:name="_Toc50"/>
      <w:r>
        <w:rPr>
          <w:sz w:val="24"/>
          <w:szCs w:val="24"/>
        </w:rPr>
        <w:t xml:space="preserve">ФОРМА АНКЕТА УЧАСТНИКА ЗАКУПКИ</w:t>
      </w:r>
      <w:bookmarkEnd w:id="173"/>
      <w:r/>
      <w:r>
        <w:rPr>
          <w:sz w:val="24"/>
          <w:szCs w:val="24"/>
        </w:rPr>
      </w:r>
    </w:p>
    <w:p>
      <w:pPr>
        <w:jc w:val="left"/>
        <w:spacing w:after="0"/>
      </w:pPr>
      <w:r/>
      <w:r/>
    </w:p>
    <w:p>
      <w:pPr>
        <w:jc w:val="center"/>
        <w:spacing w:after="0"/>
      </w:pPr>
      <w:r>
        <w:rPr>
          <w:b/>
          <w:iCs/>
        </w:rPr>
        <w:t xml:space="preserve">АНКЕТА УЧАСТНИКА</w:t>
      </w:r>
      <w:r/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</w:t>
      </w:r>
      <w:r>
        <w:t xml:space="preserve">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737"/>
        <w:gridCol w:w="5869"/>
        <w:gridCol w:w="2968"/>
      </w:tblGrid>
      <w:tr>
        <w:tblPrEx/>
        <w:trPr>
          <w:cantSplit/>
          <w:trHeight w:val="240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№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Фирменное 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Организационно - правовая форма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</w:t>
            </w:r>
            <w:r>
              <w:t xml:space="preserve">и)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6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Виды деятельности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ИНН 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КПП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среднесписочной численности (на последнюю отчетную дату)</w:t>
            </w:r>
            <w:r>
              <w:rPr>
                <w:vertAlign w:val="superscript"/>
              </w:rPr>
              <w:footnoteReference w:id="21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vertAlign w:val="superscript"/>
              </w:rPr>
              <w:footnoteReference w:id="22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vertAlign w:val="superscript"/>
              </w:rPr>
              <w:footnoteReference w:id="23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vertAlign w:val="superscript"/>
              </w:rPr>
              <w:footnoteReference w:id="24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Юридич</w:t>
            </w:r>
            <w:r>
              <w:t xml:space="preserve">еский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Почтовый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Фактическое местоположение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16.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Телефоны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Адрес электронной почты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pStyle w:val="1453"/>
        <w:numPr>
          <w:ilvl w:val="0"/>
          <w:numId w:val="48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53"/>
        <w:numPr>
          <w:ilvl w:val="0"/>
          <w:numId w:val="48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53"/>
        <w:numPr>
          <w:ilvl w:val="0"/>
          <w:numId w:val="48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453"/>
        <w:numPr>
          <w:ilvl w:val="0"/>
          <w:numId w:val="48"/>
        </w:numPr>
        <w:ind w:left="0" w:firstLine="709"/>
        <w:jc w:val="both"/>
      </w:pPr>
      <w:r>
        <w:t xml:space="preserve">Форма составляется на фирменном </w:t>
      </w:r>
      <w:r>
        <w:t xml:space="preserve">бланке Участника закупки.</w:t>
      </w:r>
      <w:r/>
    </w:p>
    <w:p>
      <w:pPr>
        <w:pStyle w:val="1453"/>
        <w:numPr>
          <w:ilvl w:val="0"/>
          <w:numId w:val="48"/>
        </w:numPr>
        <w:ind w:left="0" w:firstLine="709"/>
        <w:jc w:val="both"/>
      </w:pPr>
      <w:r>
        <w:t xml:space="preserve">Участник закупки должен заполнить приведенную выше первую таблицу по всем позициям. В случае отсутствия каких-либо данных указать слово «нет данных».</w:t>
      </w:r>
      <w:r/>
    </w:p>
    <w:p>
      <w:pPr>
        <w:pStyle w:val="1453"/>
        <w:numPr>
          <w:ilvl w:val="0"/>
          <w:numId w:val="48"/>
        </w:numPr>
        <w:ind w:left="0" w:firstLine="709"/>
        <w:jc w:val="both"/>
      </w:pPr>
      <w:r>
        <w:t xml:space="preserve">В №п/п 21 «Банковские реквизиты…» указываются реквизиты, которые будут использов</w:t>
      </w:r>
      <w:r>
        <w:t xml:space="preserve">аны при заключении Договора.</w:t>
      </w:r>
      <w:r/>
    </w:p>
    <w:p>
      <w:pPr>
        <w:pStyle w:val="1453"/>
        <w:numPr>
          <w:ilvl w:val="0"/>
          <w:numId w:val="48"/>
        </w:numPr>
        <w:ind w:left="0" w:firstLine="709"/>
        <w:jc w:val="both"/>
      </w:pPr>
      <w:r>
        <w:t xml:space="preserve">Графа 12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</w:t>
      </w:r>
      <w:r>
        <w:t xml:space="preserve">ости Российской Федерации» заполняется в соответствии с ниже приведенным </w:t>
      </w:r>
      <w:r>
        <w:rPr>
          <w:b/>
        </w:rPr>
        <w:t xml:space="preserve">Перечнем публичных должностных лиц</w:t>
      </w:r>
      <w:r>
        <w:t xml:space="preserve">.</w:t>
      </w:r>
      <w:r/>
    </w:p>
    <w:p>
      <w:pPr>
        <w:pStyle w:val="1453"/>
        <w:numPr>
          <w:ilvl w:val="0"/>
          <w:numId w:val="48"/>
        </w:numPr>
        <w:ind w:left="0" w:firstLine="709"/>
        <w:jc w:val="both"/>
      </w:pPr>
      <w:r>
        <w:t xml:space="preserve">информация по вопросам 1, 2, 3 и 4 заполняется в соответствии с требованиями, указанными непосредственно в данных вопросах.</w:t>
      </w:r>
      <w:r/>
    </w:p>
    <w:p>
      <w:pPr>
        <w:pStyle w:val="1453"/>
        <w:numPr>
          <w:ilvl w:val="0"/>
          <w:numId w:val="48"/>
        </w:numPr>
        <w:ind w:left="0" w:firstLine="709"/>
        <w:jc w:val="both"/>
      </w:pPr>
      <w:r>
        <w:rPr>
          <w:b/>
        </w:rPr>
        <w:t xml:space="preserve">Участник закупки должен</w:t>
      </w:r>
      <w:r>
        <w:rPr>
          <w:b/>
        </w:rPr>
        <w:t xml:space="preserve"> приложить файл данной формы, выполненный в редактируемом формате</w:t>
      </w:r>
      <w:r>
        <w:t xml:space="preserve">.</w:t>
      </w:r>
      <w:r/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sz w:val="21"/>
          <w:szCs w:val="21"/>
        </w:rPr>
        <w:t xml:space="preserve">Приложение к Анкете Участника закупки</w:t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jc w:val="center"/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Перечень публичных должностных лиц</w:t>
      </w:r>
      <w:r>
        <w:rPr>
          <w:b/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Организациям и их работникам следует принимать во внимание, что к ним могут применяться нормы и санкции, установл</w:t>
      </w:r>
      <w:r>
        <w:rPr>
          <w:sz w:val="21"/>
          <w:szCs w:val="21"/>
        </w:rPr>
        <w:t xml:space="preserve">енные не только российским, но и зарубежным антикоррупционным законодательством, в соответствии с </w:t>
      </w:r>
      <w:hyperlink r:id="rId54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Конвенцией</w:t>
        </w:r>
      </w:hyperlink>
      <w:r>
        <w:rPr>
          <w:sz w:val="21"/>
          <w:szCs w:val="21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Российская Федерация ратифицировала </w:t>
      </w:r>
      <w:hyperlink r:id="rId55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Конвенцию</w:t>
        </w:r>
      </w:hyperlink>
      <w:r>
        <w:rPr>
          <w:sz w:val="21"/>
          <w:szCs w:val="21"/>
        </w:rPr>
        <w:t xml:space="preserve"> ООН против коррупции в 2006 году (8 марта 2006 года принят Федеральный </w:t>
      </w:r>
      <w:hyperlink r:id="rId56" w:tooltip="consultantplus://offline/ref=B7E04B8F5BC345C22463EADCAE81D93CF4CA1215A36F6052F6BC85F6f9C8L" w:history="1">
        <w:r>
          <w:rPr>
            <w:sz w:val="21"/>
            <w:szCs w:val="21"/>
          </w:rPr>
          <w:t xml:space="preserve">закон</w:t>
        </w:r>
      </w:hyperlink>
      <w:r>
        <w:rPr>
          <w:sz w:val="21"/>
          <w:szCs w:val="21"/>
        </w:rPr>
        <w:t xml:space="preserve"> № 40-ФЗ «О ратификации Конвенции Организации Объе</w:t>
      </w:r>
      <w:r>
        <w:rPr>
          <w:sz w:val="21"/>
          <w:szCs w:val="21"/>
        </w:rPr>
        <w:t xml:space="preserve">диненных Наций против коррупции»).</w:t>
      </w:r>
      <w:r>
        <w:rPr>
          <w:sz w:val="21"/>
          <w:szCs w:val="21"/>
        </w:rPr>
      </w:r>
    </w:p>
    <w:p>
      <w:pPr>
        <w:ind w:firstLine="539"/>
        <w:spacing w:after="0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В соответствии со ст.12 Конвенции одной из мер по предупреждению коррупции является в том числе предупреждение возникновения конфликта интересов посредством установления ограничений на трудоустройство для бывших публичных</w:t>
      </w:r>
      <w:r>
        <w:rPr>
          <w:rFonts w:eastAsia="Calibri"/>
          <w:sz w:val="21"/>
          <w:szCs w:val="21"/>
          <w:lang w:eastAsia="en-US"/>
        </w:rPr>
        <w:t xml:space="preserve"> должностных лиц.</w:t>
      </w:r>
      <w:r>
        <w:rPr>
          <w:rFonts w:eastAsia="Calibri"/>
          <w:sz w:val="21"/>
          <w:szCs w:val="21"/>
          <w:lang w:eastAsia="en-US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1. ПУБЛИЧНОЕ ДОЛЖНОСТНОЕ ЛИЦО (ПДЛ)</w:t>
      </w:r>
      <w:r>
        <w:rPr>
          <w:sz w:val="21"/>
          <w:szCs w:val="21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</w:t>
      </w:r>
      <w:r>
        <w:rPr>
          <w:sz w:val="21"/>
          <w:szCs w:val="21"/>
        </w:rPr>
        <w:t xml:space="preserve">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</w:t>
      </w:r>
      <w:r>
        <w:rPr>
          <w:sz w:val="21"/>
          <w:szCs w:val="21"/>
        </w:rPr>
        <w:t xml:space="preserve">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</w:t>
      </w:r>
      <w:r>
        <w:rPr>
          <w:sz w:val="21"/>
          <w:szCs w:val="21"/>
        </w:rPr>
        <w:t xml:space="preserve"> основании федеральных законов, включенные в перечни должностей, определяемые Президентом Российской Федерации.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2.</w:t>
      </w:r>
      <w:r>
        <w:rPr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ИНОСТРАННОЕ ПУБЛИЧНОЕ ДОЛЖНОСТНОЕ ЛИЦО (ИПДЛ)</w:t>
      </w:r>
      <w:r>
        <w:rPr>
          <w:sz w:val="21"/>
          <w:szCs w:val="21"/>
        </w:rPr>
        <w:t xml:space="preserve"> – физическое лицо, вне зависимости от его гражданства, на которого возложено или было возложен</w:t>
      </w:r>
      <w:r>
        <w:rPr>
          <w:sz w:val="21"/>
          <w:szCs w:val="21"/>
        </w:rPr>
        <w:t xml:space="preserve">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рекомендациями международных организаций и з</w:t>
      </w:r>
      <w:r>
        <w:rPr>
          <w:sz w:val="21"/>
          <w:szCs w:val="21"/>
        </w:rPr>
        <w:t xml:space="preserve">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</w:t>
      </w:r>
      <w:r>
        <w:rPr>
          <w:sz w:val="21"/>
          <w:szCs w:val="21"/>
        </w:rPr>
        <w:t xml:space="preserve">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</w:t>
      </w:r>
      <w:r>
        <w:rPr>
          <w:sz w:val="21"/>
          <w:szCs w:val="21"/>
        </w:rPr>
        <w:t xml:space="preserve">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</w:t>
      </w:r>
      <w:r>
        <w:rPr>
          <w:sz w:val="21"/>
          <w:szCs w:val="21"/>
        </w:rPr>
        <w:t xml:space="preserve">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</w:t>
      </w:r>
      <w:r>
        <w:rPr>
          <w:sz w:val="21"/>
          <w:szCs w:val="21"/>
        </w:rPr>
        <w:t xml:space="preserve">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</w:t>
      </w:r>
      <w:r>
        <w:rPr>
          <w:sz w:val="21"/>
          <w:szCs w:val="21"/>
        </w:rPr>
        <w:t xml:space="preserve">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3. РОССИЙСКИЕ ПУБЛИЧНЫЕ ДОЛЖНОСТНЫЕ ЛИЦА (РПДЛ)</w:t>
      </w:r>
      <w:r>
        <w:rPr>
          <w:sz w:val="21"/>
          <w:szCs w:val="21"/>
        </w:rPr>
        <w:t xml:space="preserve"> – физические лица, находящиеся или принимаемые на обслуживани</w:t>
      </w:r>
      <w:r>
        <w:rPr>
          <w:sz w:val="21"/>
          <w:szCs w:val="21"/>
        </w:rPr>
        <w:t xml:space="preserve">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</w:t>
      </w:r>
      <w:r>
        <w:rPr>
          <w:sz w:val="21"/>
          <w:szCs w:val="21"/>
        </w:rPr>
        <w:t xml:space="preserve">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Указом Президента Российской Федераци</w:t>
      </w:r>
      <w:r>
        <w:rPr>
          <w:sz w:val="21"/>
          <w:szCs w:val="21"/>
        </w:rPr>
        <w:t xml:space="preserve">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</w:t>
      </w:r>
      <w:r>
        <w:rPr>
          <w:sz w:val="21"/>
          <w:szCs w:val="21"/>
        </w:rPr>
        <w:t xml:space="preserve">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</w:t>
      </w:r>
      <w:r>
        <w:rPr>
          <w:sz w:val="21"/>
          <w:szCs w:val="21"/>
        </w:rPr>
        <w:t xml:space="preserve">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</w:t>
      </w:r>
      <w:r>
        <w:rPr>
          <w:sz w:val="21"/>
          <w:szCs w:val="21"/>
        </w:rPr>
        <w:t xml:space="preserve">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</w:t>
      </w:r>
      <w:r>
        <w:rPr>
          <w:sz w:val="21"/>
          <w:szCs w:val="21"/>
        </w:rPr>
        <w:t xml:space="preserve">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</w:t>
      </w:r>
      <w:r>
        <w:rPr>
          <w:sz w:val="21"/>
          <w:szCs w:val="21"/>
        </w:rPr>
        <w:t xml:space="preserve">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</w:t>
      </w:r>
      <w:r>
        <w:rPr>
          <w:sz w:val="21"/>
          <w:szCs w:val="21"/>
        </w:rPr>
        <w:t xml:space="preserve">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</w:t>
      </w:r>
      <w:r>
        <w:rPr>
          <w:sz w:val="21"/>
          <w:szCs w:val="21"/>
        </w:rPr>
        <w:t xml:space="preserve">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</w:t>
      </w:r>
      <w:r>
        <w:rPr>
          <w:sz w:val="21"/>
          <w:szCs w:val="21"/>
        </w:rPr>
        <w:t xml:space="preserve">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</w:t>
      </w:r>
      <w:r>
        <w:rPr>
          <w:sz w:val="21"/>
          <w:szCs w:val="21"/>
        </w:rPr>
        <w:t xml:space="preserve">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</w:t>
      </w:r>
      <w:r>
        <w:rPr>
          <w:sz w:val="21"/>
          <w:szCs w:val="21"/>
        </w:rPr>
        <w:t xml:space="preserve">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</w:t>
      </w:r>
      <w:r>
        <w:rPr>
          <w:sz w:val="21"/>
          <w:szCs w:val="21"/>
        </w:rPr>
        <w:t xml:space="preserve">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4. МЕЖДУНАРОДНОЕ ПУБЛИЧНОЕ ДОЛЖНОСТНОЕ ЛИЦО (МПДЛ</w:t>
      </w:r>
      <w:r>
        <w:rPr>
          <w:sz w:val="21"/>
          <w:szCs w:val="21"/>
        </w:rPr>
        <w:t xml:space="preserve">) - международный гражданский служащий или любое лицо, котор</w:t>
      </w:r>
      <w:r>
        <w:rPr>
          <w:sz w:val="21"/>
          <w:szCs w:val="21"/>
        </w:rPr>
        <w:t xml:space="preserve">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5. ЛИЦО, СВЯЗАННОЕ С ПДЛ</w:t>
      </w:r>
      <w:r>
        <w:rPr>
          <w:sz w:val="21"/>
          <w:szCs w:val="21"/>
        </w:rPr>
        <w:t xml:space="preserve"> – супруг или супруга ПДЛ, его близкий родственник (родственник по прямой во</w:t>
      </w:r>
      <w:r>
        <w:rPr>
          <w:sz w:val="21"/>
          <w:szCs w:val="21"/>
        </w:rPr>
        <w:t xml:space="preserve">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</w:t>
      </w:r>
      <w:r>
        <w:rPr>
          <w:sz w:val="21"/>
          <w:szCs w:val="21"/>
        </w:rPr>
        <w:t xml:space="preserve"> значительную материальную выгоду ввиду отношений с ПДЛ.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6. МЕЖДУНАРОДНЫЕ ОРГАНИЗАЦИИ</w:t>
      </w:r>
      <w:r>
        <w:rPr>
          <w:sz w:val="21"/>
          <w:szCs w:val="21"/>
        </w:rPr>
        <w:t xml:space="preserve"> – организации, созданные официальными политическими соглашениями между их странами - членами, которые имеют статус международных договоров; их существование признается з</w:t>
      </w:r>
      <w:r>
        <w:rPr>
          <w:sz w:val="21"/>
          <w:szCs w:val="21"/>
        </w:rPr>
        <w:t xml:space="preserve">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</w:t>
      </w:r>
      <w:r>
        <w:rPr>
          <w:sz w:val="21"/>
          <w:szCs w:val="21"/>
        </w:rPr>
        <w:t xml:space="preserve">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</w:t>
      </w:r>
      <w:r>
        <w:rPr>
          <w:sz w:val="21"/>
          <w:szCs w:val="21"/>
        </w:rPr>
        <w:t xml:space="preserve"> экономические организации, такие как Всемирная торговая организация или АСЕАН, и т.д.</w:t>
      </w:r>
      <w:r>
        <w:rPr>
          <w:sz w:val="21"/>
          <w:szCs w:val="21"/>
        </w:rPr>
      </w:r>
    </w:p>
    <w:p>
      <w:pPr>
        <w:ind w:firstLine="540"/>
        <w:tabs>
          <w:tab w:val="left" w:pos="1080" w:leader="none"/>
        </w:tabs>
        <w:rPr>
          <w:b/>
          <w:bCs/>
        </w:rPr>
        <w:sectPr>
          <w:footnotePr/>
          <w:endnotePr/>
          <w:type w:val="nextPage"/>
          <w:pgSz w:w="11909" w:h="16834" w:orient="portrait"/>
          <w:pgMar w:top="1134" w:right="850" w:bottom="1134" w:left="1701" w:header="709" w:footer="709" w:gutter="0"/>
          <w:cols w:num="1" w:sep="0" w:space="6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</w:p>
    <w:p>
      <w:pPr>
        <w:pStyle w:val="1141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4" w:name="_Toc51"/>
      <w:r>
        <w:rPr>
          <w:sz w:val="24"/>
          <w:szCs w:val="24"/>
        </w:rPr>
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bookmarkEnd w:id="174"/>
      <w:r/>
      <w:r>
        <w:rPr>
          <w:sz w:val="24"/>
          <w:szCs w:val="24"/>
        </w:rPr>
      </w:r>
    </w:p>
    <w:p>
      <w:pPr>
        <w:jc w:val="center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after="0"/>
      </w:pPr>
      <w:r>
        <w:rPr>
          <w:b/>
        </w:rPr>
        <w:t xml:space="preserve">Справка о на</w:t>
      </w:r>
      <w:r>
        <w:rPr>
          <w:b/>
        </w:rPr>
        <w:t xml:space="preserve">личии конфликта интересов и/или связей, носящих характер аффилированности с сотрудниками Заказчика или Организатора закупки</w:t>
      </w:r>
      <w:r/>
    </w:p>
    <w:p>
      <w:pPr>
        <w:jc w:val="center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</w:t>
      </w:r>
      <w:r>
        <w:t xml:space="preserve">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</w:p>
    <w:p>
      <w:pPr>
        <w:jc w:val="center"/>
      </w:pPr>
      <w:r/>
      <w:r/>
    </w:p>
    <w:p>
      <w:pPr>
        <w:jc w:val="center"/>
      </w:pPr>
      <w:r>
        <w:t xml:space="preserve">Уважаемые господа!</w:t>
      </w:r>
      <w:r/>
    </w:p>
    <w:p>
      <w:pPr>
        <w:ind w:firstLine="567"/>
      </w:pPr>
      <w:r>
        <w:rPr>
          <w:bCs/>
        </w:rPr>
        <w:t xml:space="preserve">При рассмотрении нашей заявки просим учесть </w:t>
      </w:r>
      <w:r>
        <w:rPr>
          <w:bCs/>
        </w:rPr>
        <w:t xml:space="preserve">следующие сведения о наличии у _______________________________________ </w:t>
      </w:r>
      <w:r>
        <w:rPr>
          <w:b/>
          <w:bCs/>
          <w:i/>
        </w:rPr>
        <w:t xml:space="preserve">(указывается полное наименование Участника закупки)</w:t>
      </w:r>
      <w:r>
        <w:rPr>
          <w:bCs/>
          <w:i/>
        </w:rPr>
        <w:t xml:space="preserve"> </w:t>
      </w:r>
      <w:r>
        <w:rPr>
          <w:bCs/>
        </w:rPr>
        <w:t xml:space="preserve">конфликта интересов и/или связей, </w:t>
      </w:r>
      <w:r>
        <w:rPr>
          <w:b/>
          <w:bCs/>
          <w:i/>
        </w:rPr>
        <w:t xml:space="preserve">носящих характер аффилированности с лицом, являющимся ______________________</w:t>
      </w:r>
      <w:r>
        <w:rPr>
          <w:i/>
          <w:iCs/>
        </w:rPr>
        <w:t xml:space="preserve"> (</w:t>
      </w:r>
      <w:r>
        <w:rPr>
          <w:b/>
          <w:i/>
          <w:iCs/>
        </w:rPr>
        <w:t xml:space="preserve">указывается кем являю</w:t>
      </w:r>
      <w:r>
        <w:rPr>
          <w:b/>
          <w:i/>
          <w:iCs/>
        </w:rPr>
        <w:t xml:space="preserve">тся эти лица, пример: учредители, сотрудники, и т.д.</w:t>
      </w:r>
      <w:r>
        <w:rPr>
          <w:b/>
          <w:bCs/>
          <w:i/>
        </w:rPr>
        <w:t xml:space="preserve">) </w:t>
      </w:r>
      <w:r>
        <w:rPr>
          <w:bCs/>
        </w:rPr>
        <w:t xml:space="preserve">Заказчика </w:t>
      </w:r>
      <w:r>
        <w:rPr>
          <w:b/>
          <w:bCs/>
          <w:i/>
        </w:rPr>
        <w:t xml:space="preserve">и/или Организатора закупки</w:t>
      </w:r>
      <w:r>
        <w:rPr>
          <w:bCs/>
        </w:rPr>
        <w:t xml:space="preserve">, а именно - </w:t>
      </w:r>
      <w:r>
        <w:rPr>
          <w:b/>
          <w:bCs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</w:t>
      </w:r>
      <w:r>
        <w:rPr>
          <w:b/>
          <w:bCs/>
          <w:i/>
        </w:rPr>
        <w:t xml:space="preserve">онфликт интересов и/или аффилированность)</w:t>
      </w:r>
      <w:r>
        <w:rPr>
          <w:bCs/>
        </w:rPr>
        <w:t xml:space="preserve">.</w:t>
      </w:r>
      <w:r/>
    </w:p>
    <w:p>
      <w:pPr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24"/>
        <w:spacing w:after="0"/>
        <w:tabs>
          <w:tab w:val="left" w:pos="482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numPr>
          <w:ilvl w:val="0"/>
          <w:numId w:val="49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Форма составляется на фирменном бланке Участника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должен заполнить приведенное выше информационное п</w:t>
      </w:r>
      <w:r>
        <w:t xml:space="preserve">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нашей заявки просим учесть, что у {указывается наименование Уча</w:t>
      </w:r>
      <w:r>
        <w:t xml:space="preserve">стника закупки} НЕТ связей, которые могут быть признаны носящими характер аффилированности с лицами так или иначе связанными с Заказчиком или Организатором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При наличии документов, подтверждающих или указывающих на факты возможного возникновения ко</w:t>
      </w:r>
      <w:r>
        <w:t xml:space="preserve">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rPr>
          <w:b/>
        </w:rPr>
        <w:t xml:space="preserve">Участник закупки должен приложить файл данной формы, выполненный в редактируемом фор</w:t>
      </w:r>
      <w:r>
        <w:rPr>
          <w:b/>
        </w:rPr>
        <w:t xml:space="preserve">мате</w:t>
      </w:r>
      <w:r>
        <w:t xml:space="preserve">.</w:t>
      </w:r>
      <w:r/>
    </w:p>
    <w:p>
      <w:pPr>
        <w:numPr>
          <w:ilvl w:val="0"/>
          <w:numId w:val="49"/>
        </w:numPr>
        <w:ind w:left="0" w:firstLine="709"/>
        <w:spacing w:after="0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41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5" w:name="_Toc52"/>
      <w:r>
        <w:rPr>
          <w:sz w:val="24"/>
          <w:szCs w:val="24"/>
        </w:rPr>
        <w:t xml:space="preserve">ФОРМА СПРАВКА (ИНФОРМАЦИЯ) О СОБСТВЕННИКАХ УЧАСТНИКА ЗАКУПКИ (ВКЛЮЧАЯ КОНЕЧНЫХ БЕНЕФИЦИАРОВ)</w:t>
      </w:r>
      <w:bookmarkEnd w:id="175"/>
      <w:r/>
      <w:r>
        <w:rPr>
          <w:sz w:val="24"/>
          <w:szCs w:val="24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Справка (информация) о собственниках Участника закупки (включая конечных бенефициаров)*</w:t>
      </w:r>
      <w:r>
        <w:rPr>
          <w:b/>
          <w:lang w:eastAsia="en-US"/>
        </w:rPr>
      </w:r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</w:t>
      </w:r>
      <w:r>
        <w:t xml:space="preserve">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</w:pPr>
      <w:r>
        <w:t xml:space="preserve">Юридический адрес (место нахождения) участника закупки: ________</w:t>
      </w:r>
      <w:r>
        <w:t xml:space="preserve">__________________</w:t>
      </w:r>
      <w:r/>
    </w:p>
    <w:p>
      <w:pPr>
        <w:spacing w:after="0"/>
      </w:pPr>
      <w:r/>
      <w:r/>
    </w:p>
    <w:tbl>
      <w:tblPr>
        <w:tblW w:w="153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73"/>
        <w:gridCol w:w="567"/>
        <w:gridCol w:w="1134"/>
        <w:gridCol w:w="850"/>
        <w:gridCol w:w="1134"/>
        <w:gridCol w:w="1418"/>
        <w:gridCol w:w="567"/>
        <w:gridCol w:w="567"/>
        <w:gridCol w:w="708"/>
        <w:gridCol w:w="1134"/>
        <w:gridCol w:w="987"/>
        <w:gridCol w:w="1418"/>
        <w:gridCol w:w="1134"/>
        <w:gridCol w:w="1276"/>
        <w:gridCol w:w="1275"/>
      </w:tblGrid>
      <w:tr>
        <w:tblPrEx/>
        <w:trPr>
          <w:jc w:val="center"/>
          <w:trHeight w:val="86"/>
        </w:trPr>
        <w:tc>
          <w:tcPr>
            <w:shd w:val="clear" w:color="000000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56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49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ind w:left="-113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</w:t>
            </w:r>
            <w:r>
              <w:rPr>
                <w:b/>
                <w:color w:val="000000"/>
                <w:sz w:val="16"/>
                <w:szCs w:val="16"/>
              </w:rPr>
              <w:t xml:space="preserve">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.3.2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Данные инструкции не следует воспроизводить в документах, подготовленных Участником закупки.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В случае, если одним или несколькими участниками / учредителями / акционерами контрагента являются юридические лица, то в зав</w:t>
      </w:r>
      <w:r>
        <w:t xml:space="preserve">исимости от организационно-правовой формы, необходимо раскрыть цепочку их участников/учредителей/акционеров до уровня конечных бенефициаров с соблюдением нумерации и представить копии подтверждающих документов для всей цепочки с их указанием.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* В отношении</w:t>
      </w:r>
      <w:r>
        <w:t xml:space="preserve">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</w:t>
      </w:r>
      <w:r>
        <w:t xml:space="preserve">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</w:t>
      </w:r>
      <w:r>
        <w:t xml:space="preserve"> информации о количестве таких акционеров.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Разделы «ИНН» (№2) и «ОГРН» (№3) - указываются регистрационные данные Участника.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Разделы «ИНН» (№9) и «ОГРН» (№10) - указываются регистрационные данные собственников Участника.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«Наименование краткое» (№4) -</w:t>
      </w:r>
      <w:r>
        <w:t xml:space="preserve">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</w:t>
      </w:r>
      <w:r>
        <w:t xml:space="preserve">ел «Код ОКВЭД» (№5) - указывается код (основные коды) ОКВЭД.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«ФИО руководителя» (№6) - фамилия, отчество и имя указываются полностью.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руководителя» (№7) - паспортные данные указываются в форм</w:t>
      </w:r>
      <w:r>
        <w:t xml:space="preserve">ате: ХХХХХХХХХХ (10 знаков), то есть без слов «серия», «номер» и т.п.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</w:t>
      </w:r>
      <w:r>
        <w:t xml:space="preserve">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** Раздел «№» (№8) – заполняется в следующем формате: 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1.1, 1.2. и т.д. – собственники участника (собственники первого уровня)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1.1.1, 1.1.2, 1.1.3 – собственники организации 1.1 (собственники организации второго уровня) и далее – по аналогичной схеме до </w:t>
      </w:r>
      <w:r>
        <w:t xml:space="preserve">конечного бенефициарного собственника (пример 1.1.3.1).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Каждый собственник указывается в отдельной строке Формы.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</w:t>
      </w:r>
      <w:r>
        <w:t xml:space="preserve">и наличие и состав собственников (выпиской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Заявок, выпиской из реестра акционеров </w:t>
      </w:r>
      <w:r>
        <w:t xml:space="preserve">и т.п.); для физических лиц - фамилия, имя и отчество (указываются полностью).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</w:t>
      </w:r>
      <w:r>
        <w:t xml:space="preserve">выданной соответствующим подразделением Федеральной налоговой службы не ранее чем за 6 месяцев до срока окончания подачи Заявок; для физического лица - адрес регистрации физического лица.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«руководитель/участник/акционер/бенефициар» (№14) – указывает</w:t>
      </w:r>
      <w:r>
        <w:t xml:space="preserve">ся, кем является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</w:t>
      </w:r>
      <w:r>
        <w:t xml:space="preserve">; конечным бенефициаром (Российская Федерация, гос. учреждения РФ, физические лица, кроме руководителей).</w:t>
      </w:r>
      <w:r>
        <w:rPr>
          <w:b/>
        </w:rPr>
      </w:r>
    </w:p>
    <w:p>
      <w:pPr>
        <w:pStyle w:val="1453"/>
        <w:numPr>
          <w:ilvl w:val="0"/>
          <w:numId w:val="50"/>
        </w:numPr>
        <w:ind w:left="0" w:firstLine="709"/>
        <w:jc w:val="both"/>
      </w:pPr>
      <w:r>
        <w:t xml:space="preserve">***Раздел «Информация о подтверждающих документах (наименование, реквизиты и т.д.)» (№16) – указываются документы, на основании которых вносились данн</w:t>
      </w:r>
      <w:r>
        <w:t xml:space="preserve">ые в разделы №№9-13, а также документ, подтверждающий статус участника(ов)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</w:t>
      </w:r>
      <w:r>
        <w:t xml:space="preserve">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  <w:r/>
    </w:p>
    <w:p>
      <w:pPr>
        <w:pStyle w:val="1453"/>
        <w:numPr>
          <w:ilvl w:val="0"/>
          <w:numId w:val="50"/>
        </w:numPr>
        <w:ind w:left="0" w:firstLine="709"/>
        <w:jc w:val="both"/>
        <w:rPr>
          <w:b/>
          <w:bCs/>
        </w:rPr>
      </w:pPr>
      <w:r>
        <w:rPr>
          <w:b/>
        </w:rPr>
        <w:t xml:space="preserve">Участ</w:t>
      </w:r>
      <w:r>
        <w:rPr>
          <w:b/>
        </w:rPr>
        <w:t xml:space="preserve">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</w:r>
    </w:p>
    <w:p>
      <w:pPr>
        <w:jc w:val="left"/>
        <w:spacing w:after="160" w:line="259" w:lineRule="auto"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jc w:val="right"/>
        <w:spacing w:after="160" w:line="259" w:lineRule="auto"/>
        <w:rPr>
          <w:b/>
        </w:rPr>
      </w:pPr>
      <w:r>
        <w:rPr>
          <w:b/>
        </w:rPr>
        <w:t xml:space="preserve">Приложение 1</w:t>
      </w:r>
      <w:r>
        <w:rPr>
          <w:b/>
        </w:rPr>
      </w:r>
    </w:p>
    <w:p>
      <w:pPr>
        <w:jc w:val="center"/>
        <w:rPr>
          <w:b/>
          <w:bCs/>
        </w:rPr>
      </w:pPr>
      <w:r>
        <w:rPr>
          <w:b/>
        </w:rPr>
        <w:t xml:space="preserve">Пример заполнения формы «Справка (информация) о собственниках участника закупки (включая конечных бенефициаров) (в том числе конечных)»</w:t>
      </w:r>
      <w:r>
        <w:rPr>
          <w:b/>
          <w:bCs/>
        </w:rPr>
      </w:r>
    </w:p>
    <w:p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ООО «Организация-пример»</w:t>
      </w:r>
      <w:r>
        <w:rPr>
          <w:b/>
          <w:color w:val="000000"/>
          <w:u w:val="single"/>
        </w:rPr>
      </w:r>
    </w:p>
    <w:p>
      <w:pPr>
        <w:jc w:val="center"/>
      </w:pPr>
      <w:r>
        <w:rPr>
          <w:i/>
          <w:color w:val="000000"/>
        </w:rPr>
        <w:t xml:space="preserve">(наименование организации)</w:t>
      </w:r>
      <w:r/>
    </w:p>
    <w:tbl>
      <w:tblPr>
        <w:tblW w:w="157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709"/>
        <w:gridCol w:w="1275"/>
        <w:gridCol w:w="709"/>
        <w:gridCol w:w="1134"/>
        <w:gridCol w:w="1418"/>
        <w:gridCol w:w="567"/>
        <w:gridCol w:w="992"/>
        <w:gridCol w:w="709"/>
        <w:gridCol w:w="1134"/>
        <w:gridCol w:w="1134"/>
        <w:gridCol w:w="1111"/>
        <w:gridCol w:w="1134"/>
        <w:gridCol w:w="1157"/>
        <w:gridCol w:w="1275"/>
      </w:tblGrid>
      <w:tr>
        <w:tblPrEx/>
        <w:trPr>
          <w:jc w:val="center"/>
          <w:trHeight w:val="331"/>
        </w:trPr>
        <w:tc>
          <w:tcPr>
            <w:shd w:val="clear" w:color="000000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79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60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64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426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113" w:right="-22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ind w:left="-137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</w:t>
            </w:r>
            <w:r>
              <w:rPr>
                <w:b/>
                <w:color w:val="000000"/>
                <w:sz w:val="16"/>
                <w:szCs w:val="16"/>
              </w:rPr>
              <w:t xml:space="preserve">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16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773456789</w:t>
            </w:r>
            <w:r>
              <w:rPr>
                <w:color w:val="000000"/>
                <w:sz w:val="14"/>
                <w:szCs w:val="16"/>
              </w:rPr>
              <w:t xml:space="preserve">0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044567890123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45.хх.хх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4601 456789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7751212112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35%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111222333444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7777 888999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222333444555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6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8888 111222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70%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1. 2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7735345355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30%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6158585888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987654321123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Сидорчук Светлана Петровна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0125 145678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90%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775456123007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154568484</w:t>
            </w:r>
            <w:r>
              <w:rPr>
                <w:color w:val="000000"/>
                <w:sz w:val="14"/>
                <w:szCs w:val="16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25%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7778899111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4545 123456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3334455777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2323 145678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100%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Пример Лтд. (</w:t>
            </w:r>
            <w:r>
              <w:rPr>
                <w:color w:val="000000"/>
                <w:sz w:val="14"/>
                <w:szCs w:val="16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6"/>
              </w:rPr>
              <w:t xml:space="preserve">)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Кипр, Лимассол, 45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40%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color w:val="000000"/>
                <w:sz w:val="14"/>
                <w:szCs w:val="16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sz w:val="22"/>
          <w:szCs w:val="22"/>
        </w:rPr>
      </w:r>
    </w:p>
    <w:p>
      <w:pPr>
        <w:jc w:val="center"/>
        <w:tabs>
          <w:tab w:val="left" w:pos="1080" w:leader="none"/>
        </w:tabs>
        <w:rPr>
          <w:bCs/>
          <w:sz w:val="22"/>
          <w:szCs w:val="22"/>
        </w:rPr>
      </w:pPr>
      <w:r>
        <w:rPr>
          <w:sz w:val="20"/>
          <w:vertAlign w:val="subscript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697980" cy="4023360"/>
                <wp:effectExtent l="0" t="0" r="762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5173528" name="_x0000_i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57"/>
                        <a:stretch/>
                      </pic:blipFill>
                      <pic:spPr bwMode="auto">
                        <a:xfrm>
                          <a:off x="0" y="0"/>
                          <a:ext cx="6697980" cy="402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7.40pt;height:316.80pt;mso-wrap-distance-left:0.00pt;mso-wrap-distance-top:0.00pt;mso-wrap-distance-right:0.00pt;mso-wrap-distance-bottom:0.00pt;" stroked="f">
                <v:path textboxrect="0,0,0,0"/>
                <v:imagedata r:id="rId57" o:title=""/>
              </v:shape>
            </w:pict>
          </mc:Fallback>
        </mc:AlternateContent>
      </w:r>
      <w:r>
        <w:rPr>
          <w:bCs/>
          <w:sz w:val="22"/>
          <w:szCs w:val="22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</w:p>
    <w:p>
      <w:pPr>
        <w:pStyle w:val="1141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6" w:name="_Toc53"/>
      <w:r>
        <w:rPr>
          <w:sz w:val="24"/>
          <w:szCs w:val="24"/>
        </w:rPr>
        <w:t xml:space="preserve">ФОРМА СОГЛАСИЕ НА ОБРАБОТКУ ПЕРСОНАЛЬНЫХ ДАННЫХ</w:t>
      </w:r>
      <w:bookmarkEnd w:id="176"/>
      <w:r/>
      <w:r>
        <w:rPr>
          <w:sz w:val="24"/>
          <w:szCs w:val="24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«____» ____________</w:t>
      </w:r>
      <w:r>
        <w:rPr>
          <w:b/>
        </w:rPr>
        <w:t xml:space="preserve">_____ 20 ____ г.</w:t>
      </w:r>
      <w:r>
        <w:rPr>
          <w:b/>
        </w:rPr>
      </w:r>
    </w:p>
    <w:p>
      <w:pPr>
        <w:ind w:firstLine="567"/>
        <w:spacing w:after="0"/>
        <w:widowControl w:val="off"/>
      </w:pPr>
      <w:r>
        <w:t xml:space="preserve">Настоящим, _____________________________________________________________,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  <w:vertAlign w:val="subscript"/>
        </w:rPr>
      </w:pPr>
      <w:r>
        <w:rPr>
          <w:b/>
          <w:i/>
          <w:vertAlign w:val="subscript"/>
        </w:rPr>
        <w:t xml:space="preserve">                                                  (указывается</w:t>
      </w:r>
      <w:r>
        <w:rPr>
          <w:vertAlign w:val="subscript"/>
        </w:rPr>
        <w:t xml:space="preserve"> </w:t>
      </w:r>
      <w:r>
        <w:rPr>
          <w:b/>
          <w:i/>
          <w:vertAlign w:val="subscript"/>
        </w:rPr>
        <w:t xml:space="preserve">полное наименование участника закупочной процедуры</w:t>
      </w:r>
      <w:r>
        <w:rPr>
          <w:b/>
          <w:i/>
          <w:vertAlign w:val="subscript"/>
        </w:rPr>
      </w:r>
    </w:p>
    <w:p>
      <w:pPr>
        <w:spacing w:after="0"/>
      </w:pPr>
      <w:r>
        <w:rPr>
          <w:b/>
          <w:i/>
        </w:rPr>
        <w:t xml:space="preserve">___________________________________________________</w:t>
      </w:r>
      <w:r>
        <w:rPr>
          <w:b/>
          <w:i/>
        </w:rPr>
        <w:t xml:space="preserve">__________________________</w:t>
      </w:r>
      <w:r/>
    </w:p>
    <w:p>
      <w:pPr>
        <w:jc w:val="center"/>
        <w:spacing w:after="0"/>
        <w:widowControl w:val="off"/>
        <w:rPr>
          <w:vertAlign w:val="subscript"/>
        </w:rPr>
      </w:pPr>
      <w:r>
        <w:rPr>
          <w:b/>
          <w:i/>
          <w:vertAlign w:val="subscript"/>
        </w:rPr>
        <w:t xml:space="preserve">(потенциального контрагента), контрагента)</w:t>
      </w:r>
      <w:r>
        <w:rPr>
          <w:vertAlign w:val="subscript"/>
        </w:rPr>
      </w:r>
    </w:p>
    <w:p>
      <w:pPr>
        <w:ind w:firstLine="567"/>
        <w:widowControl w:val="off"/>
      </w:pPr>
      <w:r>
        <w:t xml:space="preserve">Адрес регистрации: _______________________________________________________,</w:t>
      </w:r>
      <w:r/>
    </w:p>
    <w:p>
      <w:pPr>
        <w:ind w:firstLine="567"/>
        <w:widowControl w:val="off"/>
      </w:pPr>
      <w:r>
        <w:t xml:space="preserve">Свидетельство о регистрации: ______________________________________________</w:t>
      </w:r>
      <w:r/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ИНН__________________________</w:t>
      </w:r>
      <w:r>
        <w:rPr>
          <w:b/>
          <w:i/>
        </w:rPr>
      </w:r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КПП_</w:t>
      </w:r>
      <w:r>
        <w:rPr>
          <w:b/>
          <w:i/>
        </w:rPr>
        <w:t xml:space="preserve">_________________________</w:t>
      </w:r>
      <w:r>
        <w:rPr>
          <w:b/>
          <w:i/>
        </w:rPr>
      </w:r>
    </w:p>
    <w:p>
      <w:pPr>
        <w:ind w:firstLine="567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</w:t>
      </w:r>
      <w:r>
        <w:rPr>
          <w:b/>
          <w:i/>
        </w:rPr>
      </w:r>
    </w:p>
    <w:p>
      <w:pPr>
        <w:ind w:firstLine="540"/>
        <w:jc w:val="center"/>
        <w:spacing w:after="0"/>
        <w:rPr>
          <w:b/>
          <w:bCs/>
          <w:i/>
          <w:iCs/>
          <w:vertAlign w:val="subscript"/>
        </w:rPr>
      </w:pPr>
      <w:r>
        <w:rPr>
          <w:b/>
          <w:i/>
          <w:vertAlign w:val="subscript"/>
        </w:rPr>
        <w:t xml:space="preserve">(указывается Ф.И.О.,</w:t>
      </w:r>
      <w:r>
        <w:rPr>
          <w:b/>
          <w:i/>
          <w:iCs/>
          <w:vertAlign w:val="subscript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vertAlign w:val="subscript"/>
        </w:rPr>
      </w:r>
    </w:p>
    <w:p>
      <w:pPr>
        <w:jc w:val="left"/>
      </w:pPr>
      <w:r>
        <w:rPr>
          <w:b/>
          <w:i/>
          <w:iCs/>
        </w:rPr>
        <w:t xml:space="preserve">_____________________________________________________________________________</w:t>
      </w:r>
      <w:r>
        <w:rPr>
          <w:iCs/>
        </w:rPr>
        <w:t xml:space="preserve">,</w:t>
      </w:r>
      <w:r/>
    </w:p>
    <w:p>
      <w:pPr>
        <w:ind w:firstLine="540"/>
        <w:jc w:val="center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АО «Россети Янтарь»</w:t>
      </w:r>
      <w:r>
        <w:t xml:space="preserve">, зарегистрированному</w:t>
      </w:r>
      <w:r>
        <w:t xml:space="preserve"> по адресу: 236022 г. Калининград, ул. Театральная, д. 34,</w:t>
      </w:r>
      <w:r>
        <w:rPr>
          <w:b/>
          <w:i/>
        </w:rPr>
        <w:t xml:space="preserve"> </w:t>
      </w:r>
      <w:r>
        <w:rPr>
          <w:b/>
        </w:rPr>
        <w:t xml:space="preserve">ДЗО _________«_________________» </w:t>
      </w:r>
      <w:r>
        <w:rPr>
          <w:b/>
          <w:i/>
        </w:rPr>
        <w:t xml:space="preserve">(указывается организационно-правовая форма и полное наименование),** </w:t>
      </w:r>
      <w:r>
        <w:t xml:space="preserve">зарегистрированному по адресу:_____________ и</w:t>
      </w:r>
      <w:r>
        <w:rPr>
          <w:i/>
        </w:rPr>
        <w:t xml:space="preserve"> </w:t>
      </w:r>
      <w:r>
        <w:rPr>
          <w:b/>
        </w:rPr>
        <w:t xml:space="preserve">Публичному акционерному обществу «Российские сети</w:t>
      </w:r>
      <w:r>
        <w:rPr>
          <w:b/>
        </w:rPr>
        <w:t xml:space="preserve">»</w:t>
      </w:r>
      <w: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br/>
        <w:t xml:space="preserve">в том числе конечных бенефициаров, участника закупки (потенциального к</w:t>
      </w:r>
      <w:r>
        <w:t xml:space="preserve">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</w:t>
      </w:r>
      <w:r>
        <w:t xml:space="preserve">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</w:t>
      </w:r>
      <w:r>
        <w:t xml:space="preserve">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ind w:firstLine="567"/>
        <w:spacing w:after="0"/>
        <w:widowControl w:val="off"/>
      </w:pPr>
      <w:r>
        <w:t xml:space="preserve">Цель обработки персональных данных: обеспечение соблюдения требований законодательств</w:t>
      </w:r>
      <w:r>
        <w:t xml:space="preserve">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</w:t>
      </w:r>
      <w:r>
        <w:t xml:space="preserve">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</w:t>
      </w:r>
      <w:r>
        <w:t xml:space="preserve">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</w:t>
      </w:r>
      <w:r>
        <w:rPr>
          <w:color w:val="000000"/>
        </w:rPr>
        <w:t xml:space="preserve">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tbl>
      <w:tblPr>
        <w:tblW w:w="9243" w:type="dxa"/>
        <w:tblInd w:w="108" w:type="dxa"/>
        <w:tblLook w:val="01E0" w:firstRow="1" w:lastRow="1" w:firstColumn="1" w:lastColumn="1" w:noHBand="0" w:noVBand="0"/>
      </w:tblPr>
      <w:tblGrid>
        <w:gridCol w:w="4849"/>
        <w:gridCol w:w="4394"/>
      </w:tblGrid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ind w:right="-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___________________________________________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(подпись субъекта персональных данных уполномоченного представителя)</w:t>
            </w:r>
            <w:r>
              <w:rPr>
                <w:bCs/>
                <w:vertAlign w:val="subscript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ind w:left="-103"/>
              <w:jc w:val="center"/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vertAlign w:val="subscript"/>
              </w:rPr>
            </w:r>
          </w:p>
        </w:tc>
      </w:tr>
    </w:tbl>
    <w:p>
      <w:pPr>
        <w:tabs>
          <w:tab w:val="left" w:pos="1080" w:leader="none"/>
        </w:tabs>
        <w:rPr>
          <w:b/>
          <w:bCs/>
        </w:rPr>
      </w:pPr>
      <w:r>
        <w:rPr>
          <w:b/>
        </w:rPr>
        <w:t xml:space="preserve">м.п.</w:t>
      </w:r>
      <w:r>
        <w:rPr>
          <w:b/>
          <w:bCs/>
        </w:rPr>
      </w:r>
    </w:p>
    <w:p>
      <w:pPr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ind w:firstLine="567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numPr>
          <w:ilvl w:val="0"/>
          <w:numId w:val="51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Участник приводит номер и дату письма о подаче оферты, приложением к которому является данная форма.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</w:t>
      </w:r>
      <w:r>
        <w:t xml:space="preserve">я. Участник закупки,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Согласие на обработку персонал</w:t>
      </w:r>
      <w:r>
        <w:t xml:space="preserve">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</w:t>
      </w:r>
      <w:r>
        <w:t xml:space="preserve"> форме не обязательно.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</w:t>
      </w:r>
      <w:r>
        <w:t xml:space="preserve">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</w:t>
      </w:r>
      <w:r>
        <w:t xml:space="preserve">ри получении согласия от представителя субъекта персональных данных). 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** При заключении договоров АО «Россети Янтарь», АО «Россети Янтарь» обязаны получить согласие на обработку персональных данных участника закупки (потенциального контрагента/ контрагент</w:t>
      </w:r>
      <w:r>
        <w:t xml:space="preserve">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</w:t>
      </w:r>
      <w:r>
        <w:t xml:space="preserve">, акционеров, руководителей).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</w:t>
      </w:r>
      <w:r>
        <w:t xml:space="preserve">х, учредителях, акционерах) и бенефициарах исключает ответственность ПАО «Россети», АО «Россети Янтарь», ДЗО АО «Россети Янтарь» перед руководителем, собственником (участником, учредителем, акционером), а также бенефициаром участника закупки / контрагента </w:t>
      </w:r>
      <w:r>
        <w:t xml:space="preserve">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</w:t>
      </w:r>
      <w:r>
        <w:t xml:space="preserve">трагент получил у руководителя, своих бенефициаров и бенефициаров своих субконтрагентов согласие на представление (обработку) ПАО «Россети», АО «Россети Янтарь», ДЗО АО «Россети Янтарь» и в уполномоченные государственные органы указанных сведений</w:t>
      </w:r>
      <w:r>
        <w:rPr>
          <w:sz w:val="22"/>
          <w:szCs w:val="22"/>
        </w:rPr>
        <w:t xml:space="preserve">.</w:t>
      </w:r>
      <w:r>
        <w:br w:type="page" w:clear="all"/>
      </w:r>
      <w:r/>
    </w:p>
    <w:p>
      <w:pPr>
        <w:pStyle w:val="1141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7" w:name="_Toc54"/>
      <w:r>
        <w:rPr>
          <w:sz w:val="24"/>
          <w:szCs w:val="24"/>
        </w:rPr>
        <w:t xml:space="preserve">ФОРМА А</w:t>
      </w:r>
      <w:r>
        <w:rPr>
          <w:sz w:val="24"/>
          <w:szCs w:val="24"/>
        </w:rPr>
        <w:t xml:space="preserve">НТИКОРРУПЦИОННЫЕ ОБЯЗАТЕЛЬСТВА</w:t>
      </w:r>
      <w:bookmarkEnd w:id="177"/>
      <w:r/>
      <w:r>
        <w:rPr>
          <w:sz w:val="24"/>
          <w:szCs w:val="24"/>
        </w:rPr>
      </w:r>
    </w:p>
    <w:p>
      <w:r/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Антикоррупционные обязательства</w:t>
      </w:r>
      <w:r>
        <w:rPr>
          <w:b/>
          <w:bCs/>
        </w:rPr>
      </w:r>
    </w:p>
    <w:p>
      <w:pPr>
        <w:jc w:val="center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</w:p>
    <w:p>
      <w:r/>
      <w:r/>
    </w:p>
    <w:p>
      <w:pPr>
        <w:ind w:firstLine="567"/>
        <w:spacing w:after="0"/>
      </w:pPr>
      <w:r>
        <w:t xml:space="preserve">Антикоррупционные обязательства разработаны во исполнение требований ст. 13.3 Федерального за</w:t>
      </w:r>
      <w:r>
        <w:t xml:space="preserve">кона от 25.12.2008 № 273-ФЗ «О противодействии коррупции», предусматривающих обязанность АО «Россети Янтарь» по разработке и принятию мер по предупреждению и противодействию коррупции.</w:t>
      </w:r>
      <w:r/>
    </w:p>
    <w:p>
      <w:pPr>
        <w:numPr>
          <w:ilvl w:val="0"/>
          <w:numId w:val="52"/>
        </w:numPr>
        <w:ind w:left="0" w:firstLine="567"/>
        <w:spacing w:after="0"/>
        <w:tabs>
          <w:tab w:val="num" w:pos="567" w:leader="none"/>
        </w:tabs>
      </w:pPr>
      <w:r>
        <w:t xml:space="preserve">Потенциальный участник (юридическое/физическое лицо, индивидуальный пре</w:t>
      </w:r>
      <w:r>
        <w:t xml:space="preserve">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АО «Россети Янтарь», именуемое в дальнейшем «Заказчик»</w:t>
      </w:r>
      <w:r>
        <w:t xml:space="preserve">, после ознакомления с закупочной документацией гарантирует и заверяет Заказчика/Организатора закупки, что он:</w:t>
      </w:r>
      <w:r/>
    </w:p>
    <w:p>
      <w:pPr>
        <w:contextualSpacing/>
        <w:ind w:firstLine="567"/>
        <w:spacing w:after="0"/>
        <w:widowControl w:val="off"/>
        <w:tabs>
          <w:tab w:val="num" w:pos="567" w:leader="none"/>
        </w:tabs>
      </w:pPr>
      <w:r>
        <w:t xml:space="preserve">1.1</w:t>
      </w:r>
      <w:r>
        <w:tab/>
        <w:t xml:space="preserve">Ознакомлен с Антикоррупционной хартией российского бизнеса и Антикоррупционной политикой ПАО «Россети» и его ДЗО, представленными в разделе «</w:t>
      </w:r>
      <w:r>
        <w:t xml:space="preserve">Антикоррупционная политика» на официальном сайте АО «Россети Янтарь») по адресу в сети Интернет </w:t>
      </w:r>
      <w:hyperlink r:id="rId58" w:tooltip="https://rosseti-yantar.ru/about/antikorruptsionnaya-politika/" w:history="1">
        <w:r>
          <w:rPr>
            <w:rStyle w:val="1360"/>
          </w:rPr>
          <w:t xml:space="preserve">https://rosseti</w:t>
        </w:r>
        <w:r>
          <w:rPr>
            <w:rStyle w:val="1360"/>
          </w:rPr>
          <w:t xml:space="preserve">-yantar.ru/about/antikorruptsionnaya-politika/</w:t>
        </w:r>
      </w:hyperlink>
      <w:r>
        <w:t xml:space="preserve"> (далее - Антикоррупционная политика).</w:t>
      </w:r>
      <w:r/>
    </w:p>
    <w:p>
      <w:pPr>
        <w:numPr>
          <w:ilvl w:val="1"/>
          <w:numId w:val="56"/>
        </w:numPr>
        <w:contextualSpacing/>
        <w:ind w:left="0" w:firstLine="567"/>
        <w:spacing w:after="0"/>
        <w:widowControl w:val="off"/>
        <w:tabs>
          <w:tab w:val="num" w:pos="567" w:leader="none"/>
        </w:tabs>
      </w:pPr>
      <w:r>
        <w:t xml:space="preserve">Согласен с принимаемыми в АО «Россети Янтарь» мерами, направленными на предупреждение и противодействие коррупции, включая Антикоррупционную политику, и готов представить </w:t>
      </w:r>
      <w:r>
        <w:t xml:space="preserve">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</w:t>
      </w:r>
      <w:r>
        <w:t xml:space="preserve">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</w:t>
      </w:r>
      <w:r>
        <w:t xml:space="preserve"> и печатью.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</w:t>
      </w:r>
      <w:r>
        <w:t xml:space="preserve">я иностранных лиц), полученных не ранее чем за 60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</w:t>
      </w:r>
      <w:r>
        <w:t xml:space="preserve">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52"/>
        </w:numPr>
        <w:ind w:left="0" w:firstLine="567"/>
        <w:spacing w:after="0"/>
        <w:tabs>
          <w:tab w:val="num" w:pos="567" w:leader="none"/>
        </w:tabs>
      </w:pPr>
      <w:r>
        <w:t xml:space="preserve">Участник, а также его аффилированные лица, бенефициары, работники, посредники и/или иные лица, действующие в интер</w:t>
      </w:r>
      <w:r>
        <w:t xml:space="preserve">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</w:rPr>
        <w:t xml:space="preserve">Запрещённые действия</w:t>
      </w:r>
      <w:r>
        <w:t xml:space="preserve">»).</w:t>
      </w:r>
      <w:r/>
    </w:p>
    <w:p>
      <w:pPr>
        <w:ind w:firstLine="567"/>
        <w:spacing w:after="0"/>
        <w:tabs>
          <w:tab w:val="num" w:pos="567" w:leader="none"/>
        </w:tabs>
      </w:pPr>
      <w:r>
        <w:t xml:space="preserve">2.1. К Запрещ</w:t>
      </w:r>
      <w:r>
        <w:rPr>
          <w:bCs/>
        </w:rPr>
        <w:t xml:space="preserve">ё</w:t>
      </w:r>
      <w:r>
        <w:t xml:space="preserve">нным действиям, способным вызвать коррупционные риски при осуществлении закупочной деятельности, относятся: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неполных, заведомо ложных, недостоверных сведений о структуре собственников;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непредставление информации о наличии аффилированных и ин</w:t>
      </w:r>
      <w:r>
        <w:t xml:space="preserve">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освобождение, предложение или обещание освободить от исполнения обязательства или</w:t>
      </w:r>
      <w:r>
        <w:t xml:space="preserve"> обязанности;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оказание, предложение или обещание оказать услуги;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предоставление, предложение или обещание предостав</w:t>
      </w:r>
      <w:r>
        <w:t xml:space="preserve">ить иные выгоды; 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54"/>
        </w:numPr>
        <w:ind w:left="0" w:firstLine="567"/>
        <w:spacing w:after="0"/>
        <w:tabs>
          <w:tab w:val="num" w:pos="567" w:leader="none"/>
        </w:tabs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</w:t>
      </w:r>
      <w:r>
        <w:t xml:space="preserve">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неоправда</w:t>
      </w:r>
      <w:r>
        <w:t xml:space="preserve">нных преимуществ по сравнению с другими участниками закупочных процедур;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каких-либо гарантий;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ускорение существующих процедур;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иные действия, выполняемые работником в рамках своих должностных обязанностей, но идущие в разрез с принципами про</w:t>
      </w:r>
      <w:r>
        <w:t xml:space="preserve">зрачности и открытости взаимоотношений между Участником и Заказчиком/Организатором закупки.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</w:t>
      </w:r>
      <w:r>
        <w:t xml:space="preserve">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</w:t>
      </w:r>
      <w:r>
        <w:t xml:space="preserve">апрещенные действия.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Участник обязуется соблюдать и исполнять требования настоящих Антикоррупционных обя</w:t>
      </w:r>
      <w:r>
        <w:t xml:space="preserve">зательств на всех этапах закупочных процедур, а Заказчик имеет право требовать соблюдения таких обязанностей. </w:t>
      </w:r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r/>
      <w:r/>
    </w:p>
    <w:p>
      <w:r/>
      <w:r/>
    </w:p>
    <w:p>
      <w:pPr>
        <w:ind w:firstLine="567"/>
        <w:spacing w:after="160"/>
        <w:rPr>
          <w:rFonts w:eastAsia="Calibri"/>
          <w:b/>
          <w:i/>
        </w:rPr>
      </w:pPr>
      <w:r>
        <w:rPr>
          <w:rFonts w:eastAsia="Calibri"/>
          <w:b/>
          <w:bCs/>
          <w:i/>
          <w:iCs/>
        </w:rPr>
        <w:t xml:space="preserve">Информация о формах обратной связи ПАО «Россети» в рамках системы предупреждения и профилактики коррупции:</w:t>
      </w:r>
      <w:r>
        <w:rPr>
          <w:rFonts w:eastAsia="Calibri"/>
          <w:b/>
          <w:i/>
        </w:rPr>
      </w:r>
    </w:p>
    <w:p>
      <w:pPr>
        <w:rPr>
          <w:rFonts w:eastAsia="Calibri"/>
          <w:bCs/>
          <w:i/>
          <w:iCs/>
          <w:shd w:val="clear" w:color="auto" w:fill="ffffff"/>
        </w:rPr>
      </w:pPr>
      <w:r>
        <w:rPr>
          <w:rFonts w:eastAsia="Calibri"/>
          <w:bCs/>
          <w:i/>
        </w:rPr>
        <w:t xml:space="preserve">         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</w:rPr>
        <w:t xml:space="preserve">» действует система </w:t>
      </w:r>
      <w:r>
        <w:rPr>
          <w:rFonts w:eastAsia="Calibri"/>
          <w:bCs/>
          <w:i/>
          <w:iCs/>
        </w:rPr>
        <w:t xml:space="preserve">предупреждения и профилактики коррупции.</w:t>
      </w:r>
      <w:r>
        <w:rPr>
          <w:rFonts w:eastAsia="Calibri"/>
          <w:bCs/>
          <w:i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Информацию о возможных фактах коррупции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  <w:shd w:val="clear" w:color="auto" w:fill="ffffff"/>
        </w:rPr>
        <w:t xml:space="preserve">», а также</w:t>
      </w:r>
      <w:r>
        <w:rPr>
          <w:rFonts w:eastAsia="Calibri"/>
          <w:bCs/>
          <w:i/>
          <w:shd w:val="clear" w:color="auto" w:fill="ffffff"/>
        </w:rPr>
        <w:t xml:space="preserve"> дочерних зависимых обществах и их филиалах можно сообщить, заполнив </w:t>
      </w:r>
      <w:hyperlink r:id="rId59" w:tooltip="http://www.rosseti.ru/about/contacts/opinion/" w:history="1">
        <w:r>
          <w:rPr>
            <w:rFonts w:eastAsia="Calibri"/>
            <w:bCs/>
            <w:i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rFonts w:eastAsia="Calibri"/>
          <w:bCs/>
          <w:i/>
        </w:rPr>
        <w:t xml:space="preserve"> на корпоративном веб-сайте</w:t>
      </w:r>
      <w:r>
        <w:rPr>
          <w:rFonts w:eastAsia="Calibri"/>
          <w:bCs/>
          <w:i/>
          <w:shd w:val="clear" w:color="auto" w:fill="ffffff"/>
        </w:rPr>
        <w:t xml:space="preserve">, позвонив по телефону «Горячей линии» +7 495 664-8494, или направив письменное обращение по адресу:</w:t>
      </w:r>
      <w:r>
        <w:rPr>
          <w:rFonts w:eastAsia="Calibri"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121353, Москва, ул. Беловежская, д. 4</w:t>
      </w:r>
      <w:r>
        <w:rPr>
          <w:rFonts w:eastAsia="Calibri"/>
          <w:bCs/>
          <w:i/>
          <w:iCs/>
          <w:shd w:val="clear" w:color="auto" w:fill="ffffff"/>
        </w:rPr>
        <w:t xml:space="preserve">.</w:t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jc w:val="left"/>
        <w:spacing w:after="160" w:line="259" w:lineRule="auto"/>
        <w:rPr>
          <w:rFonts w:eastAsia="Calibri"/>
          <w:bCs/>
          <w:i/>
          <w:iCs/>
          <w:shd w:val="clear" w:color="auto" w:fill="ffffff"/>
        </w:rPr>
      </w:pPr>
      <w:r/>
      <w:bookmarkStart w:id="178" w:name="_ФОРМА_Справка_о"/>
      <w:r/>
      <w:bookmarkEnd w:id="178"/>
      <w:r>
        <w:rPr>
          <w:rFonts w:eastAsia="Calibri"/>
          <w:bCs/>
          <w:i/>
          <w:iCs/>
          <w:shd w:val="clear" w:color="auto" w:fill="ffffff"/>
        </w:rPr>
        <w:br w:type="page" w:clear="all"/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pStyle w:val="1141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1"/>
        <w:rPr>
          <w:highlight w:val="white"/>
        </w:rPr>
      </w:pPr>
      <w:r/>
      <w:bookmarkStart w:id="179" w:name="_ФОРМА_СПРА_8"/>
      <w:r/>
      <w:bookmarkStart w:id="180" w:name="_ФОРМА_СПРА_7"/>
      <w:r/>
      <w:bookmarkStart w:id="181" w:name="_ФОРМА_СПРА_6"/>
      <w:r/>
      <w:bookmarkStart w:id="182" w:name="_ФОРМА_СПРА_5"/>
      <w:r/>
      <w:bookmarkStart w:id="183" w:name="_ФОРМА_СПРА_2"/>
      <w:r/>
      <w:bookmarkStart w:id="184" w:name="_Toc55"/>
      <w:r/>
      <w:bookmarkEnd w:id="179"/>
      <w:r/>
      <w:bookmarkEnd w:id="180"/>
      <w:r/>
      <w:bookmarkEnd w:id="181"/>
      <w:r/>
      <w:bookmarkEnd w:id="182"/>
      <w:r/>
      <w:bookmarkEnd w:id="183"/>
      <w:r>
        <w:rPr>
          <w:sz w:val="24"/>
          <w:szCs w:val="24"/>
          <w:highlight w:val="white"/>
        </w:rPr>
        <w:t xml:space="preserve">ФОРМА СПРАВКА О ПЕРЕЧНЕ И ОБЪЕМАХ ВЫПОЛНЕНИЯ АНАЛОГИЧНЫХ ДОГОВОРОВ</w:t>
      </w:r>
      <w:bookmarkEnd w:id="184"/>
      <w:r/>
      <w:r>
        <w:rPr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  <w:t xml:space="preserve">Справка о перечне и объемах вы</w:t>
      </w:r>
      <w:r>
        <w:rPr>
          <w:b/>
          <w:highlight w:val="white"/>
        </w:rPr>
        <w:t xml:space="preserve">полнения аналогичных договоров</w:t>
      </w:r>
      <w:r>
        <w:rPr>
          <w:b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Наименование закупки _______________________________________________________________________________ Лот № ________</w:t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Номер извещения о проведении закупки в ЕИС: _________________________________</w:t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Наименование участника закупки</w:t>
      </w:r>
      <w:r>
        <w:rPr>
          <w:highlight w:val="white"/>
        </w:rPr>
        <w:t xml:space="preserve">: _____________________________________________</w:t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Юридический адрес (место нахождения) участника закупки: _______________________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1474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381"/>
        <w:gridCol w:w="2552"/>
        <w:gridCol w:w="1984"/>
        <w:gridCol w:w="1560"/>
        <w:gridCol w:w="1559"/>
        <w:gridCol w:w="3118"/>
      </w:tblGrid>
      <w:tr>
        <w:tblPrEx/>
        <w:trPr>
          <w:cantSplit/>
          <w:trHeight w:val="1565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40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</w:t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40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п/п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и дата договора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Сроки выполнения (год и месяц начала выполнения - год и месяц фактического окончания выполнения)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  <w:t xml:space="preserve">Заказч</w:t>
            </w:r>
            <w:r>
              <w:rPr>
                <w:bCs/>
                <w:sz w:val="20"/>
                <w:szCs w:val="20"/>
                <w:highlight w:val="white"/>
              </w:rPr>
              <w:t xml:space="preserve">ик по договору</w:t>
            </w:r>
            <w:r>
              <w:rPr>
                <w:bCs/>
                <w:sz w:val="20"/>
                <w:szCs w:val="20"/>
                <w:highlight w:val="white"/>
              </w:rPr>
            </w:r>
          </w:p>
          <w:p>
            <w:pPr>
              <w:pStyle w:val="1440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Описание договора (объем и состав услуг, описание основных условий договора)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440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рублей </w:t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40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(без НДС)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40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рублей </w:t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40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(с НДС)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440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Стоимость аналогичных работ</w:t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40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(в случае если указанный договор включает в себя в том числе работы не являющиеся аналогичными)</w:t>
            </w:r>
            <w:r>
              <w:rPr>
                <w:i/>
                <w:sz w:val="20"/>
                <w:szCs w:val="20"/>
                <w:highlight w:val="white"/>
              </w:rPr>
            </w:r>
          </w:p>
          <w:p>
            <w:pPr>
              <w:pStyle w:val="1440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руб. без НДС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301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40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1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2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3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4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5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440"/>
              <w:ind w:left="-109" w:right="-10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6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40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7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440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8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40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40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40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40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40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pStyle w:val="1440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-79" w:right="-108"/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176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…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70"/>
        </w:trPr>
        <w:tc>
          <w:tcPr>
            <w:gridSpan w:val="5"/>
            <w:tcW w:w="8505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ВСЕГО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42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42"/>
              <w:jc w:val="center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b/>
          <w:bCs/>
          <w:highlight w:val="white"/>
        </w:rPr>
        <w:t xml:space="preserve">м.п.</w:t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b/>
          <w:highlight w:val="white"/>
        </w:rPr>
      </w:pPr>
      <w:r>
        <w:rPr>
          <w:b/>
          <w:highlight w:val="white"/>
        </w:rPr>
        <w:t xml:space="preserve">Инструкции по заполнению:</w:t>
      </w:r>
      <w:r>
        <w:rPr>
          <w:b/>
          <w:highlight w:val="white"/>
        </w:rPr>
      </w:r>
    </w:p>
    <w:p>
      <w:pPr>
        <w:pStyle w:val="1453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highlight w:val="white"/>
        </w:rPr>
      </w:r>
    </w:p>
    <w:p>
      <w:pPr>
        <w:pStyle w:val="1453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</w:t>
      </w:r>
      <w:r>
        <w:rPr>
          <w:highlight w:val="white"/>
        </w:rPr>
        <w:t xml:space="preserve">ении закупки в ЕИС.</w:t>
      </w:r>
      <w:r>
        <w:rPr>
          <w:highlight w:val="white"/>
        </w:rPr>
      </w:r>
    </w:p>
    <w:p>
      <w:pPr>
        <w:pStyle w:val="1453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highlight w:val="white"/>
        </w:rPr>
      </w:r>
    </w:p>
    <w:p>
      <w:pPr>
        <w:pStyle w:val="1453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этой</w:t>
      </w:r>
      <w:r>
        <w:rPr>
          <w:highlight w:val="white"/>
        </w:rPr>
        <w:t xml:space="preserve"> форме Участник закупки указывает перечень и годовые объемы выполнения всех аналогичных договоров, сопоставимых по объемам, срокам выполнения и прочим требованиям, установленным в документации о закупке.</w:t>
      </w:r>
      <w:r>
        <w:rPr>
          <w:highlight w:val="white"/>
        </w:rPr>
      </w:r>
    </w:p>
    <w:p>
      <w:pPr>
        <w:pStyle w:val="1453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должен указать фактически выполненн</w:t>
      </w:r>
      <w:r>
        <w:rPr>
          <w:highlight w:val="white"/>
        </w:rPr>
        <w:t xml:space="preserve">ые по договорам объемы работ.</w:t>
      </w:r>
      <w:r>
        <w:rPr>
          <w:highlight w:val="white"/>
        </w:rPr>
      </w:r>
    </w:p>
    <w:p>
      <w:pPr>
        <w:pStyle w:val="1453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должен указать опыт исполнения договоров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</w:t>
      </w:r>
      <w:r>
        <w:rPr>
          <w:highlight w:val="white"/>
        </w:rPr>
        <w:t xml:space="preserve"> сети Интернет.</w:t>
      </w:r>
      <w:r>
        <w:rPr>
          <w:highlight w:val="white"/>
        </w:rPr>
      </w:r>
    </w:p>
    <w:p>
      <w:pPr>
        <w:pStyle w:val="1453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случае если Участник указывает в настоящей справке сведения о договоре, включающем в себя как объем аналогичных работ, так и объем работ, не являющихся аналогичными в соответствии с требованиями, указанными в документации о закупке, в так</w:t>
      </w:r>
      <w:r>
        <w:rPr>
          <w:highlight w:val="white"/>
        </w:rPr>
        <w:t xml:space="preserve">ом случае Участник должен в гр. 8 данной формы указать объем аналогичных работ, выполненных по указанному договору выраженный в рублях без учета НДС.</w:t>
      </w:r>
      <w:r>
        <w:rPr>
          <w:highlight w:val="white"/>
        </w:rPr>
      </w:r>
    </w:p>
    <w:p>
      <w:pPr>
        <w:pStyle w:val="1453"/>
        <w:numPr>
          <w:ilvl w:val="0"/>
          <w:numId w:val="39"/>
        </w:numPr>
        <w:ind w:left="0" w:firstLine="709"/>
        <w:jc w:val="both"/>
        <w:rPr>
          <w:highlight w:val="white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white"/>
        </w:rPr>
        <w:t xml:space="preserve">Участнику закупки должен приложить файл данной формы, выполненный в редактируемом формате</w:t>
      </w:r>
      <w:r>
        <w:rPr>
          <w:highlight w:val="white"/>
        </w:rPr>
        <w:t xml:space="preserve">.</w:t>
      </w:r>
      <w:r>
        <w:rPr>
          <w:highlight w:val="white"/>
        </w:rPr>
      </w:r>
    </w:p>
    <w:p>
      <w:pPr>
        <w:pStyle w:val="1141"/>
        <w:rPr>
          <w:rFonts w:eastAsiaTheme="majorEastAsia"/>
          <w:sz w:val="24"/>
          <w:szCs w:val="24"/>
          <w:highlight w:val="white"/>
        </w:rPr>
      </w:pPr>
      <w:r/>
      <w:bookmarkStart w:id="185" w:name="_ФОРМА_Комм"/>
      <w:r/>
      <w:bookmarkStart w:id="186" w:name="_ФОРМА_Коммерческое_предложение"/>
      <w:r/>
      <w:bookmarkStart w:id="187" w:name="_Toc56"/>
      <w:r/>
      <w:bookmarkEnd w:id="185"/>
      <w:r/>
      <w:bookmarkEnd w:id="186"/>
      <w:r>
        <w:rPr>
          <w:sz w:val="24"/>
          <w:szCs w:val="24"/>
          <w:highlight w:val="white"/>
        </w:rPr>
        <w:t xml:space="preserve">ФОРМА КОММЕРЧЕСКОЕ ПРЕДЛОЖЕНИЕ</w:t>
      </w:r>
      <w:bookmarkEnd w:id="187"/>
      <w:r/>
      <w:r>
        <w:rPr>
          <w:rFonts w:eastAsiaTheme="majorEastAsia"/>
          <w:sz w:val="24"/>
          <w:szCs w:val="24"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(представляется в составе ценового предложения)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67"/>
        <w:rPr>
          <w:b/>
          <w:highlight w:val="white"/>
        </w:rPr>
      </w:pPr>
      <w:r>
        <w:rPr>
          <w:highlight w:val="white"/>
        </w:rPr>
        <w:t xml:space="preserve">Форма коммерческого предложения участника закупки представлена в Приложении № 5 к настоящей документации о закупке.</w:t>
      </w:r>
      <w:r>
        <w:rPr>
          <w:b/>
          <w:highlight w:val="white"/>
        </w:rPr>
      </w:r>
    </w:p>
    <w:p>
      <w:pPr>
        <w:numPr>
          <w:ilvl w:val="0"/>
          <w:numId w:val="13"/>
        </w:numPr>
        <w:ind w:left="426"/>
        <w:spacing w:after="0"/>
        <w:rPr>
          <w:b/>
          <w:highlight w:val="yellow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yellow"/>
        </w:rPr>
      </w:r>
      <w:r>
        <w:rPr>
          <w:b/>
          <w:highlight w:val="yellow"/>
        </w:rPr>
      </w:r>
    </w:p>
    <w:p>
      <w:pPr>
        <w:pStyle w:val="1140"/>
        <w:numPr>
          <w:ilvl w:val="0"/>
          <w:numId w:val="4"/>
        </w:numPr>
        <w:ind w:left="0" w:firstLine="567"/>
        <w:pageBreakBefore/>
        <w:spacing w:before="0" w:after="0"/>
        <w:rPr>
          <w:rStyle w:val="1311"/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/>
      <w:bookmarkStart w:id="188" w:name="_IV._ПРОЕКТ"/>
      <w:r/>
      <w:bookmarkStart w:id="189" w:name="_ФОРМА_15._Справка"/>
      <w:r/>
      <w:bookmarkStart w:id="190" w:name="_ФОРМА__Справка"/>
      <w:r/>
      <w:bookmarkStart w:id="191" w:name="_ПРОЕКТ_ДОГОВОРА"/>
      <w:r/>
      <w:bookmarkStart w:id="192" w:name="_Toc57"/>
      <w:r/>
      <w:bookmarkEnd w:id="188"/>
      <w:r/>
      <w:bookmarkEnd w:id="189"/>
      <w:r/>
      <w:bookmarkEnd w:id="190"/>
      <w:r/>
      <w:bookmarkEnd w:id="191"/>
      <w:r>
        <w:rPr>
          <w:rStyle w:val="1311"/>
          <w:rFonts w:ascii="Times New Roman" w:hAnsi="Times New Roman" w:cs="Times New Roman"/>
          <w:caps/>
          <w:color w:val="auto"/>
          <w:sz w:val="28"/>
          <w:szCs w:val="28"/>
        </w:rPr>
        <w:t xml:space="preserve">ПРОЕКТ ДОГОВОРА</w:t>
      </w:r>
      <w:bookmarkEnd w:id="192"/>
      <w:r/>
      <w:r>
        <w:rPr>
          <w:rStyle w:val="1311"/>
          <w:rFonts w:ascii="Times New Roman" w:hAnsi="Times New Roman" w:cs="Times New Roman"/>
          <w:b w:val="0"/>
          <w:caps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Проект договора представле</w:t>
      </w:r>
      <w:r>
        <w:rPr>
          <w:bCs/>
        </w:rPr>
        <w:t xml:space="preserve">н в виде отдельного файла в составе Приложения №1 к документации о закупке.</w:t>
      </w:r>
      <w:r/>
    </w:p>
    <w:p>
      <w:pPr>
        <w:jc w:val="left"/>
        <w:spacing w:after="0"/>
        <w:rPr>
          <w:bCs/>
        </w:rPr>
      </w:pPr>
      <w:r>
        <w:rPr>
          <w:rStyle w:val="1311"/>
          <w:caps/>
          <w:sz w:val="28"/>
          <w:szCs w:val="28"/>
        </w:rPr>
        <w:br w:type="page" w:clear="all"/>
      </w:r>
      <w:r>
        <w:rPr>
          <w:bCs/>
        </w:rPr>
      </w:r>
    </w:p>
    <w:p>
      <w:pPr>
        <w:pStyle w:val="1140"/>
        <w:numPr>
          <w:ilvl w:val="0"/>
          <w:numId w:val="4"/>
        </w:numPr>
        <w:ind w:left="0" w:firstLine="567"/>
        <w:spacing w:before="0" w:after="0"/>
        <w:rPr>
          <w:rStyle w:val="1311"/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193" w:name="_V._ТЕХНИЧЕ"/>
      <w:r/>
      <w:bookmarkStart w:id="194" w:name="_ТЕХНИЧЕСКАЯ_ЧАСТЬ"/>
      <w:r/>
      <w:bookmarkStart w:id="195" w:name="_Toc58"/>
      <w:r/>
      <w:bookmarkEnd w:id="193"/>
      <w:r/>
      <w:bookmarkEnd w:id="194"/>
      <w:r>
        <w:rPr>
          <w:rStyle w:val="1311"/>
          <w:rFonts w:ascii="Times New Roman" w:hAnsi="Times New Roman" w:cs="Times New Roman"/>
          <w:color w:val="auto"/>
          <w:sz w:val="28"/>
          <w:szCs w:val="28"/>
        </w:rPr>
        <w:t xml:space="preserve">ТЕХНИЧЕСКАЯ ЧАСТЬ</w:t>
      </w:r>
      <w:bookmarkEnd w:id="195"/>
      <w:r/>
      <w:r>
        <w:rPr>
          <w:rStyle w:val="1311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Технические требования к продукции (предмету закупки) представлены в виде отдельного файла в составе Приложения №2 к документации о закупке.</w:t>
      </w:r>
      <w:r/>
    </w:p>
    <w:p>
      <w:pPr>
        <w:rPr>
          <w:bCs/>
        </w:rPr>
      </w:pPr>
      <w:r>
        <w:rPr>
          <w:bCs/>
        </w:rPr>
      </w:r>
      <w:r>
        <w:rPr>
          <w:bCs/>
        </w:rPr>
      </w:r>
    </w:p>
    <w:p>
      <w:pPr>
        <w:jc w:val="left"/>
        <w:spacing w:after="160" w:line="259" w:lineRule="auto"/>
        <w:rPr>
          <w:rStyle w:val="1311"/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Style w:val="1311"/>
          <w:rFonts w:ascii="Times New Roman" w:hAnsi="Times New Roman" w:cs="Times New Roman"/>
          <w:color w:val="auto"/>
          <w:sz w:val="28"/>
          <w:szCs w:val="28"/>
        </w:rPr>
        <w:br w:type="page" w:clear="all"/>
      </w:r>
      <w:r>
        <w:rPr>
          <w:rStyle w:val="1311"/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pStyle w:val="1140"/>
        <w:numPr>
          <w:ilvl w:val="0"/>
          <w:numId w:val="4"/>
        </w:numPr>
        <w:ind w:left="0" w:firstLine="567"/>
        <w:spacing w:before="0" w:after="0"/>
        <w:rPr>
          <w:rStyle w:val="1311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96" w:name="_ОБОСНОВАНИЕ_НМЦ"/>
      <w:r/>
      <w:bookmarkStart w:id="197" w:name="_Toc59"/>
      <w:r/>
      <w:bookmarkEnd w:id="196"/>
      <w:r>
        <w:rPr>
          <w:rStyle w:val="1311"/>
          <w:rFonts w:ascii="Times New Roman" w:hAnsi="Times New Roman" w:cs="Times New Roman"/>
          <w:color w:val="auto"/>
          <w:sz w:val="28"/>
          <w:szCs w:val="28"/>
        </w:rPr>
        <w:t xml:space="preserve">ОБОСНОВАНИЕ НМЦ</w:t>
      </w:r>
      <w:bookmarkEnd w:id="197"/>
      <w:r/>
      <w:r>
        <w:rPr>
          <w:rStyle w:val="1311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Обоснование НМЦ представлено в виде отдельного файла в составе Приложения №3 к документации о закупке.</w:t>
      </w:r>
      <w:r/>
    </w:p>
    <w:p>
      <w:pPr>
        <w:jc w:val="left"/>
        <w:spacing w:after="160" w:line="259" w:lineRule="auto"/>
        <w:rPr>
          <w:bCs/>
        </w:rPr>
      </w:pPr>
      <w:r>
        <w:rPr>
          <w:bCs/>
        </w:rPr>
        <w:br w:type="page" w:clear="all"/>
      </w:r>
      <w:r>
        <w:rPr>
          <w:bCs/>
        </w:rPr>
      </w:r>
    </w:p>
    <w:p>
      <w:pPr>
        <w:pStyle w:val="1140"/>
        <w:numPr>
          <w:ilvl w:val="0"/>
          <w:numId w:val="4"/>
        </w:numPr>
        <w:ind w:left="0" w:firstLine="567"/>
        <w:spacing w:before="0" w:after="0"/>
      </w:pPr>
      <w:r/>
      <w:bookmarkStart w:id="198" w:name="_VII._ТИПОВ"/>
      <w:r/>
      <w:bookmarkStart w:id="199" w:name="_Типовые_формы_независимых"/>
      <w:r/>
      <w:bookmarkStart w:id="200" w:name="_Hlk121332483"/>
      <w:r/>
      <w:bookmarkStart w:id="201" w:name="_Toc60"/>
      <w:r/>
      <w:bookmarkEnd w:id="198"/>
      <w:r/>
      <w:bookmarkEnd w:id="199"/>
      <w:r>
        <w:rPr>
          <w:sz w:val="28"/>
          <w:szCs w:val="28"/>
        </w:rPr>
        <w:t xml:space="preserve">ТИПОВ</w:t>
      </w:r>
      <w:r>
        <w:rPr>
          <w:rFonts w:eastAsiaTheme="majorEastAsia"/>
          <w:sz w:val="28"/>
          <w:szCs w:val="28"/>
        </w:rPr>
        <w:t xml:space="preserve">ЫЕ</w:t>
      </w:r>
      <w:r>
        <w:rPr>
          <w:sz w:val="28"/>
          <w:szCs w:val="28"/>
        </w:rPr>
        <w:t xml:space="preserve"> ФОРМ</w:t>
      </w:r>
      <w:r>
        <w:rPr>
          <w:rFonts w:eastAsiaTheme="majorEastAsia"/>
          <w:sz w:val="28"/>
          <w:szCs w:val="28"/>
        </w:rPr>
        <w:t xml:space="preserve">Ы</w:t>
      </w:r>
      <w:r>
        <w:rPr>
          <w:sz w:val="28"/>
          <w:szCs w:val="28"/>
        </w:rPr>
        <w:t xml:space="preserve"> НЕЗАВИСИМ</w:t>
      </w:r>
      <w:r>
        <w:rPr>
          <w:rFonts w:eastAsiaTheme="majorEastAsia"/>
          <w:sz w:val="28"/>
          <w:szCs w:val="28"/>
        </w:rPr>
        <w:t xml:space="preserve">ЫХ ГАРАНТИЙ</w:t>
      </w:r>
      <w:bookmarkEnd w:id="200"/>
      <w:r/>
      <w:bookmarkEnd w:id="201"/>
      <w:r/>
      <w:r/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Типовая форма</w:t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 независимой гарантии обеспечения заявки участника закупочной процедуры</w:t>
      </w:r>
      <w:r>
        <w:rPr>
          <w:b/>
          <w:i/>
        </w:rPr>
      </w:r>
    </w:p>
    <w:p>
      <w:pPr>
        <w:ind w:firstLine="3420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rFonts w:eastAsia="Arial Unicode MS"/>
          <w:color w:val="000000"/>
        </w:rPr>
        <w:t xml:space="preserve"> </w:t>
      </w:r>
      <w:r>
        <w:rPr>
          <w:b/>
          <w:bCs/>
        </w:rPr>
        <w:t xml:space="preserve"> НЕЗАВИСИМАЯ ГАРАНТИЯ № _</w:t>
      </w:r>
      <w:r>
        <w:rPr>
          <w:b/>
          <w:bCs/>
        </w:rPr>
        <w:t xml:space="preserve">_____</w:t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</w:pPr>
      <w:r>
        <w:t xml:space="preserve">г.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«___»__________20__ г.</w:t>
      </w:r>
      <w:r/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after="0"/>
        <w:widowControl w:val="off"/>
        <w:rPr>
          <w:i/>
        </w:rPr>
      </w:pPr>
      <w:r>
        <w:rPr>
          <w:bCs/>
        </w:rPr>
        <w:t xml:space="preserve"> </w:t>
      </w:r>
      <w:r>
        <w:t xml:space="preserve">Мы информированы о том, что________________________ </w:t>
      </w:r>
      <w:r>
        <w:rPr>
          <w:i/>
        </w:rPr>
        <w:t xml:space="preserve">(</w:t>
      </w:r>
      <w:r>
        <w:rPr>
          <w:bCs/>
          <w:i/>
        </w:rPr>
        <w:t xml:space="preserve">наименование, ИНН</w:t>
      </w:r>
      <w:r>
        <w:rPr>
          <w:bCs/>
        </w:rPr>
        <w:t xml:space="preserve">), </w:t>
      </w:r>
      <w:r>
        <w:t xml:space="preserve">именуемое в дальнейшем «Принципал», намерен участвовать в закупке на ___________________________________ </w:t>
      </w:r>
      <w:r>
        <w:rPr>
          <w:i/>
        </w:rPr>
        <w:t xml:space="preserve">(предмет закупки)</w:t>
      </w:r>
      <w:r>
        <w:t xml:space="preserve">, проводимой </w:t>
      </w:r>
      <w:r>
        <w:rPr>
          <w:bCs/>
        </w:rPr>
        <w:t xml:space="preserve">_____________________ (</w:t>
      </w:r>
      <w:r>
        <w:rPr>
          <w:bCs/>
          <w:i/>
        </w:rPr>
        <w:t xml:space="preserve">наименование бенефициара,</w:t>
      </w:r>
      <w:r>
        <w:rPr>
          <w:i/>
        </w:rPr>
        <w:t xml:space="preserve"> ИНН)</w:t>
      </w:r>
      <w:r>
        <w:t xml:space="preserve">, именуемым в дальнейшем «Бенефициар»</w:t>
      </w:r>
      <w:r>
        <w:rPr>
          <w:i/>
        </w:rPr>
        <w:t xml:space="preserve">.</w:t>
      </w:r>
      <w:r>
        <w:rPr>
          <w:i/>
        </w:rPr>
      </w:r>
    </w:p>
    <w:p>
      <w:pPr>
        <w:ind w:firstLine="709"/>
        <w:spacing w:after="0"/>
        <w:widowControl w:val="off"/>
      </w:pPr>
      <w:r>
        <w:t xml:space="preserve">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</w:t>
      </w:r>
      <w:r>
        <w:t xml:space="preserve">е ___________________________</w:t>
      </w:r>
      <w:r>
        <w:rPr>
          <w:i/>
        </w:rPr>
        <w:t xml:space="preserve"> (сумма цифрами и прописью</w:t>
      </w:r>
      <w:r>
        <w:t xml:space="preserve">).</w:t>
      </w:r>
      <w:r/>
    </w:p>
    <w:p>
      <w:pPr>
        <w:ind w:firstLine="709"/>
        <w:spacing w:after="0"/>
        <w:widowControl w:val="off"/>
        <w:tabs>
          <w:tab w:val="left" w:pos="1080" w:leader="none"/>
          <w:tab w:val="left" w:pos="9180" w:leader="none"/>
        </w:tabs>
      </w:pPr>
      <w:r>
        <w:t xml:space="preserve">Учитывая вышеизложенное, по просьбе Принципала, мы, _________________________________ (</w:t>
      </w:r>
      <w:r>
        <w:rPr>
          <w:i/>
        </w:rPr>
        <w:t xml:space="preserve">реквизиты гаранта: наименование, ИНН, реквизиты лицензии на осуществлении банковских операций</w:t>
      </w:r>
      <w:r>
        <w:rPr>
          <w:bCs/>
          <w:i/>
        </w:rPr>
        <w:t xml:space="preserve">/иных документов, подтверждающих наличие у гаранта права на выдачу независимых гарантий</w:t>
      </w:r>
      <w:r>
        <w:rPr>
          <w:rStyle w:val="1343"/>
        </w:rPr>
        <w:footnoteReference w:id="25"/>
      </w:r>
      <w:r>
        <w:rPr>
          <w:rStyle w:val="1343"/>
        </w:rPr>
        <w:t xml:space="preserve">1</w:t>
      </w:r>
      <w:r>
        <w:t xml:space="preserve">), в лице </w:t>
      </w:r>
      <w:r>
        <w:rPr>
          <w:i/>
        </w:rPr>
        <w:t xml:space="preserve">_____________(Ф.И.О. уполномоченного действовать от имени гаранта лица</w:t>
      </w:r>
      <w:r>
        <w:t xml:space="preserve">), действующего на основании _____________ (</w:t>
      </w:r>
      <w:r>
        <w:rPr>
          <w:i/>
        </w:rPr>
        <w:t xml:space="preserve">реквизиты доверенности)</w:t>
      </w:r>
      <w:r>
        <w:t xml:space="preserve">, именуемый в дальне</w:t>
      </w:r>
      <w:r>
        <w:t xml:space="preserve">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>
        <w:rPr>
          <w:i/>
        </w:rPr>
        <w:t xml:space="preserve">(сумма цифрами и прописью</w:t>
      </w:r>
      <w:r>
        <w:t xml:space="preserve">), в случае:</w:t>
      </w:r>
      <w:r/>
    </w:p>
    <w:p>
      <w:pPr>
        <w:pStyle w:val="1453"/>
        <w:numPr>
          <w:ilvl w:val="0"/>
          <w:numId w:val="57"/>
        </w:numPr>
        <w:ind w:left="0" w:firstLine="709"/>
        <w:jc w:val="both"/>
      </w:pPr>
      <w:r>
        <w:t xml:space="preserve">непредставления или предоставлен</w:t>
      </w:r>
      <w:r>
        <w:t xml:space="preserve">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</w:t>
      </w:r>
      <w:r>
        <w:t xml:space="preserve">говора и срок его предоставления до заключения договора);</w:t>
      </w:r>
      <w:r/>
    </w:p>
    <w:p>
      <w:pPr>
        <w:pStyle w:val="1453"/>
        <w:numPr>
          <w:ilvl w:val="0"/>
          <w:numId w:val="57"/>
        </w:numPr>
        <w:ind w:left="0" w:firstLine="709"/>
        <w:jc w:val="both"/>
      </w:pPr>
      <w:r>
        <w:t xml:space="preserve">уклонения или отказа участника закупки от заключения договора</w:t>
      </w:r>
      <w:r/>
    </w:p>
    <w:p>
      <w:pPr>
        <w:ind w:firstLine="709"/>
        <w:spacing w:after="0"/>
        <w:widowControl w:val="off"/>
        <w:tabs>
          <w:tab w:val="left" w:pos="1080" w:leader="none"/>
        </w:tabs>
      </w:pPr>
      <w:r>
        <w:t xml:space="preserve">без споров и возражений с нашей стороны, не требуя от Бенефициара доказательств или обоснований требования на определенную в настоящей н</w:t>
      </w:r>
      <w:r>
        <w:t xml:space="preserve">езависимой гарантии сумму.</w:t>
      </w:r>
      <w:r/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За неисполнение принятых обязательств по независимой гарантии Гарант несет ответственность, пре</w:t>
      </w:r>
      <w:r>
        <w:rPr>
          <w:rFonts w:eastAsia="Arial Unicode MS"/>
          <w:color w:val="000000"/>
        </w:rPr>
        <w:t xml:space="preserve">дусмотренную законодательством Российской Федерации.</w:t>
      </w:r>
      <w:r>
        <w:tab/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tabs>
          <w:tab w:val="left" w:pos="1080" w:leader="none"/>
        </w:tabs>
      </w:pPr>
      <w:r>
        <w:rPr>
          <w:bCs/>
        </w:rPr>
        <w:t xml:space="preserve">Настоящая независимая гарантия вступает в силу с _________20___года и действует по __________20___года (включительно). </w:t>
      </w:r>
      <w:r/>
    </w:p>
    <w:p>
      <w:pPr>
        <w:ind w:firstLine="709"/>
        <w:spacing w:after="0"/>
        <w:widowControl w:val="off"/>
      </w:pPr>
      <w:r>
        <w:rPr>
          <w:bCs/>
        </w:rPr>
        <w:t xml:space="preserve">Письменное требование платежа </w:t>
      </w:r>
      <w:r>
        <w:t xml:space="preserve">должно быть направлено </w:t>
      </w:r>
      <w:r>
        <w:rPr>
          <w:bCs/>
        </w:rPr>
        <w:t xml:space="preserve">Гаранту до 24 часов 00 минут </w:t>
      </w:r>
      <w:r>
        <w:rPr>
          <w:bCs/>
        </w:rPr>
        <w:t xml:space="preserve">«______» _________ (включительно) </w:t>
      </w:r>
      <w:r>
        <w:t xml:space="preserve">по адресу: </w:t>
      </w:r>
      <w:r>
        <w:rPr>
          <w:bCs/>
        </w:rPr>
        <w:t xml:space="preserve">__________________________</w:t>
      </w:r>
      <w:r>
        <w:t xml:space="preserve"> </w:t>
      </w:r>
      <w:r>
        <w:rPr>
          <w:bCs/>
        </w:rPr>
        <w:t xml:space="preserve">посредством почтовой связи либо передано нарочным непосредственно по адресу: _______________________.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Гарант по получении от Бенефициара письменного требования о выплате денежной суммы</w:t>
      </w:r>
      <w:r>
        <w:rPr>
          <w:rFonts w:eastAsia="Arial Unicode MS"/>
          <w:color w:val="000000"/>
        </w:rPr>
        <w:t xml:space="preserve"> по настоящей независимой гарантии</w:t>
      </w:r>
      <w:r>
        <w:rPr>
          <w:bCs/>
        </w:rPr>
        <w:t xml:space="preserve">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</w:t>
      </w:r>
      <w:r>
        <w:rPr>
          <w:bCs/>
        </w:rPr>
        <w:t xml:space="preserve">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bCs/>
        </w:rPr>
      </w:r>
    </w:p>
    <w:p>
      <w:pPr>
        <w:ind w:firstLine="709"/>
        <w:spacing w:after="0"/>
        <w:widowControl w:val="off"/>
      </w:pPr>
      <w:r>
        <w:rPr>
          <w:bCs/>
        </w:rPr>
        <w:t xml:space="preserve">Гарантия не может быть отозвана Гарантом</w:t>
      </w:r>
      <w:r>
        <w:rPr>
          <w:bCs/>
        </w:rPr>
        <w:t xml:space="preserve">. Передача права требования по настоящей гарантии не допускается.</w:t>
      </w:r>
      <w:r>
        <w:t xml:space="preserve"> 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</w:t>
      </w:r>
      <w:r>
        <w:rPr>
          <w:bCs/>
        </w:rPr>
        <w:t xml:space="preserve">исимой гарантии. </w:t>
      </w:r>
      <w:r>
        <w:rPr>
          <w:bCs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bCs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</w:t>
      </w:r>
      <w:r>
        <w:rPr>
          <w:bCs/>
        </w:rPr>
        <w:t xml:space="preserve">ления их в силу не определен в таких изменениях.</w:t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</w:pPr>
      <w: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</w:t>
      </w:r>
      <w:r>
        <w:t xml:space="preserve">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ind w:firstLine="709"/>
        <w:spacing w:after="0"/>
        <w:widowControl w:val="off"/>
      </w:pPr>
      <w:r>
        <w:t xml:space="preserve">Действие настоящей независимой гарантии регулируется законодательством Российской Федерации. </w:t>
      </w:r>
      <w:r/>
    </w:p>
    <w:p>
      <w:pPr>
        <w:ind w:firstLine="709"/>
        <w:spacing w:after="0"/>
        <w:widowControl w:val="off"/>
      </w:pPr>
      <w:r>
        <w:t xml:space="preserve">Все споры, возникающие</w:t>
      </w:r>
      <w:r>
        <w:t xml:space="preserve"> в связи с действительностью, толкованием или исполнением настоящей независимой гарантии, подлежат рассмотрению в </w:t>
      </w:r>
      <w:r>
        <w:rPr>
          <w:rFonts w:eastAsia="Calibri"/>
          <w:lang w:eastAsia="en-US"/>
        </w:rPr>
        <w:t xml:space="preserve">Арбитражном суде </w:t>
      </w:r>
      <w:r>
        <w:rPr>
          <w:rFonts w:eastAsia="Arial Unicode MS"/>
          <w:lang w:eastAsia="en-US"/>
        </w:rPr>
        <w:t xml:space="preserve">_________ </w:t>
      </w:r>
      <w:r>
        <w:rPr>
          <w:rFonts w:eastAsia="Calibri"/>
          <w:i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Arial Unicode MS"/>
          <w:lang w:eastAsia="en-US"/>
        </w:rPr>
        <w:t xml:space="preserve">.</w:t>
      </w:r>
      <w:r/>
    </w:p>
    <w:p>
      <w:pPr>
        <w:spacing w:after="0"/>
        <w:widowControl w:val="off"/>
        <w:tabs>
          <w:tab w:val="left" w:pos="1080" w:leader="none"/>
        </w:tabs>
      </w:pPr>
      <w:r/>
      <w:r/>
    </w:p>
    <w:p>
      <w:pPr>
        <w:spacing w:after="0"/>
        <w:widowControl w:val="off"/>
        <w:tabs>
          <w:tab w:val="left" w:pos="1080" w:leader="none"/>
        </w:tabs>
        <w:rPr>
          <w:sz w:val="28"/>
          <w:szCs w:val="28"/>
        </w:rPr>
      </w:pPr>
      <w:r>
        <w:t xml:space="preserve">Подписи уполномоченных лиц</w:t>
      </w:r>
      <w:r>
        <w:rPr>
          <w:sz w:val="28"/>
          <w:szCs w:val="28"/>
        </w:rPr>
      </w:r>
    </w:p>
    <w:p>
      <w:pPr>
        <w:spacing w:after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Типовая форма</w:t>
      </w:r>
      <w:r>
        <w:rPr>
          <w:rFonts w:eastAsia="Calibri"/>
          <w:b/>
          <w:bCs/>
        </w:rPr>
      </w:r>
    </w:p>
    <w:p>
      <w:pPr>
        <w:jc w:val="center"/>
        <w:spacing w:after="0"/>
        <w:widowControl w:val="off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</w:rPr>
      </w:r>
    </w:p>
    <w:p>
      <w:pPr>
        <w:ind w:left="4962"/>
        <w:spacing w:after="0"/>
        <w:widowControl w:val="off"/>
        <w:rPr>
          <w:rFonts w:eastAsia="Calibri"/>
          <w:b/>
        </w:rPr>
      </w:pPr>
      <w:r>
        <w:rPr>
          <w:rFonts w:eastAsia="Calibri"/>
          <w:b/>
          <w:lang w:eastAsia="en-US"/>
        </w:rPr>
        <w:t xml:space="preserve">    </w:t>
      </w:r>
      <w:r>
        <w:rPr>
          <w:rFonts w:eastAsia="Calibri"/>
          <w:b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НЕЗАВИСИМАЯ ГАРАНТИЯ № ______</w:t>
      </w:r>
      <w:r>
        <w:rPr>
          <w:rFonts w:eastAsia="Calibri"/>
          <w:b/>
          <w:bCs/>
        </w:rPr>
      </w:r>
    </w:p>
    <w:p>
      <w:pPr>
        <w:jc w:val="left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«___»___________20__ г.</w:t>
      </w:r>
      <w:r>
        <w:rPr>
          <w:rFonts w:eastAsia="Calibri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Calibri"/>
          <w:bCs/>
          <w:lang w:eastAsia="en-US"/>
        </w:rPr>
        <w:t xml:space="preserve"> _____________________ (</w:t>
      </w:r>
      <w:r>
        <w:rPr>
          <w:rFonts w:eastAsia="Calibri"/>
          <w:bCs/>
          <w:i/>
          <w:lang w:eastAsia="en-US"/>
        </w:rPr>
        <w:t xml:space="preserve">наименование гаранта, ОГРН и/или ИНН; реквизиты лицензии на осуществление банковских операций/иных документов, подтверждающих наличие у гаранта права на выдачу независимых гарантий</w:t>
      </w:r>
      <w:r>
        <w:rPr>
          <w:rFonts w:eastAsia="Calibri"/>
          <w:bCs/>
          <w:i/>
          <w:vertAlign w:val="superscript"/>
          <w:lang w:eastAsia="en-US"/>
        </w:rPr>
        <w:footnoteReference w:id="26"/>
      </w:r>
      <w:r>
        <w:rPr>
          <w:rFonts w:eastAsia="Calibri"/>
          <w:bCs/>
          <w:i/>
          <w:vertAlign w:val="superscript"/>
          <w:lang w:eastAsia="en-US"/>
        </w:rPr>
        <w:t xml:space="preserve">1</w:t>
      </w:r>
      <w:r>
        <w:rPr>
          <w:rFonts w:eastAsia="Calibri"/>
          <w:bCs/>
          <w:i/>
          <w:lang w:eastAsia="en-US"/>
        </w:rPr>
        <w:t xml:space="preserve">),</w:t>
      </w:r>
      <w:r>
        <w:rPr>
          <w:rFonts w:eastAsia="Calibri"/>
          <w:bCs/>
          <w:lang w:eastAsia="en-US"/>
        </w:rPr>
        <w:t xml:space="preserve"> именуемое в дальнейшем «Гарант», в лице _______________________________</w:t>
      </w:r>
      <w:r>
        <w:rPr>
          <w:rFonts w:eastAsia="Calibri"/>
          <w:bCs/>
          <w:lang w:eastAsia="en-US"/>
        </w:rPr>
        <w:t xml:space="preserve">______ (</w:t>
      </w:r>
      <w:r>
        <w:rPr>
          <w:rFonts w:eastAsia="Calibri"/>
          <w:bCs/>
          <w:i/>
          <w:lang w:eastAsia="en-US"/>
        </w:rPr>
        <w:t xml:space="preserve">Ф.И.О. уполномоченного действовать от имени гаранта лица),</w:t>
      </w:r>
      <w:r>
        <w:rPr>
          <w:rFonts w:eastAsia="Calibri"/>
          <w:bCs/>
          <w:lang w:eastAsia="en-US"/>
        </w:rPr>
        <w:t xml:space="preserve"> действующего на основании ______________________________</w:t>
      </w:r>
      <w:r>
        <w:rPr>
          <w:rFonts w:eastAsia="Calibri"/>
          <w:bCs/>
          <w:i/>
          <w:lang w:eastAsia="en-US"/>
        </w:rPr>
        <w:t xml:space="preserve">(дата, номер доверенности), </w:t>
      </w:r>
      <w:r>
        <w:rPr>
          <w:rFonts w:eastAsia="Arial Unicode MS"/>
          <w:lang w:eastAsia="en-US"/>
        </w:rPr>
        <w:t xml:space="preserve">настоящим принимает на себя безусловное и безотзывное обязательство уплатить </w:t>
      </w:r>
      <w:r>
        <w:rPr>
          <w:rFonts w:eastAsia="Calibri"/>
          <w:bCs/>
          <w:lang w:eastAsia="en-US"/>
        </w:rPr>
        <w:t xml:space="preserve">_____________________ (</w:t>
      </w:r>
      <w:r>
        <w:rPr>
          <w:rFonts w:eastAsia="Calibri"/>
          <w:bCs/>
          <w:i/>
          <w:lang w:eastAsia="en-US"/>
        </w:rPr>
        <w:t xml:space="preserve">наиме</w:t>
      </w:r>
      <w:r>
        <w:rPr>
          <w:rFonts w:eastAsia="Calibri"/>
          <w:bCs/>
          <w:i/>
          <w:lang w:eastAsia="en-US"/>
        </w:rPr>
        <w:t xml:space="preserve">нование бенефициара, </w:t>
      </w:r>
      <w:r>
        <w:rPr>
          <w:rFonts w:eastAsia="Arial Unicode MS"/>
          <w:i/>
          <w:lang w:eastAsia="en-US"/>
        </w:rPr>
        <w:t xml:space="preserve">ОГРН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ИНН)</w:t>
      </w:r>
      <w:r>
        <w:rPr>
          <w:rFonts w:eastAsia="Arial Unicode MS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Arial Unicode MS"/>
          <w:i/>
          <w:lang w:eastAsia="en-US"/>
        </w:rPr>
        <w:t xml:space="preserve">(сумма цифрами и прописью),</w:t>
      </w:r>
      <w:r>
        <w:rPr>
          <w:rFonts w:eastAsia="Arial Unicode MS"/>
          <w:lang w:eastAsia="en-US"/>
        </w:rPr>
        <w:t xml:space="preserve"> по получении письменного требования Бенефициара, указывающего, что __________________</w:t>
      </w:r>
      <w:r>
        <w:rPr>
          <w:rFonts w:eastAsia="Arial Unicode MS"/>
          <w:lang w:eastAsia="en-US"/>
        </w:rPr>
        <w:t xml:space="preserve">_ </w:t>
      </w:r>
      <w:r>
        <w:rPr>
          <w:rFonts w:eastAsia="Arial Unicode MS"/>
          <w:i/>
          <w:lang w:eastAsia="en-US"/>
        </w:rPr>
        <w:t xml:space="preserve">(наименование, ИНН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ОГРН)</w:t>
      </w:r>
      <w:r>
        <w:rPr>
          <w:rFonts w:eastAsia="Arial Unicode MS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Arial Unicode MS"/>
          <w:i/>
          <w:lang w:eastAsia="en-US"/>
        </w:rPr>
        <w:t xml:space="preserve">по договору, который будет заключен по результатам определения поставщика (подрядчика, исполнит</w:t>
      </w:r>
      <w:r>
        <w:rPr>
          <w:rFonts w:eastAsia="Arial Unicode MS"/>
          <w:i/>
          <w:lang w:eastAsia="en-US"/>
        </w:rPr>
        <w:t xml:space="preserve">еля) (номер извещения в единой информационной системе в сфере закупок _______, протокол подведения итогов закупочной процедуры от ___ (указывается дата подписания либо более поздняя из дат указанная в протоколе) №___ )*,</w:t>
      </w:r>
      <w:r>
        <w:rPr>
          <w:rFonts w:eastAsia="Arial Unicode MS"/>
          <w:lang w:eastAsia="en-US"/>
        </w:rPr>
        <w:t xml:space="preserve"> без споров и возражений со стороны </w:t>
      </w:r>
      <w:r>
        <w:rPr>
          <w:rFonts w:eastAsia="Arial Unicode MS"/>
          <w:lang w:eastAsia="en-US"/>
        </w:rPr>
        <w:t xml:space="preserve">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*Примечание: </w:t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заключения договора на основании решения (указать наименование закупочного органа бенефициара) текст</w:t>
      </w:r>
      <w:r>
        <w:rPr>
          <w:rFonts w:eastAsia="Arial Unicode MS"/>
          <w:i/>
          <w:lang w:eastAsia="en-US"/>
        </w:rPr>
        <w:t xml:space="preserve">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(указать наименование закупочного органа бенефициара) от __</w:t>
      </w:r>
      <w:r>
        <w:rPr>
          <w:rFonts w:eastAsia="Arial Unicode MS"/>
          <w:i/>
          <w:lang w:eastAsia="en-US"/>
        </w:rPr>
        <w:br/>
        <w:t xml:space="preserve">№ ____)</w:t>
      </w:r>
      <w:r>
        <w:rPr>
          <w:rFonts w:eastAsia="Arial Unicode MS"/>
          <w:i/>
          <w:lang w:eastAsia="en-US"/>
        </w:rPr>
        <w:t xml:space="preserve">»;</w:t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Договору________ (указывается номер, дата договора), именуемый в дальнейшем «Догов</w:t>
      </w:r>
      <w:r>
        <w:rPr>
          <w:rFonts w:eastAsia="Arial Unicode MS"/>
          <w:i/>
          <w:lang w:eastAsia="en-US"/>
        </w:rPr>
        <w:t xml:space="preserve">ор».</w:t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</w:t>
      </w:r>
      <w:r>
        <w:rPr>
          <w:rFonts w:eastAsia="Arial Unicode MS"/>
          <w:lang w:eastAsia="en-US"/>
        </w:rPr>
        <w:t xml:space="preserve">ельством Российской Федерации.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</w:t>
      </w:r>
      <w:r>
        <w:rPr>
          <w:rFonts w:eastAsia="Arial Unicode MS"/>
          <w:lang w:eastAsia="en-US"/>
        </w:rPr>
        <w:t xml:space="preserve">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</w:t>
      </w:r>
      <w:r>
        <w:rPr>
          <w:rFonts w:eastAsia="Arial Unicode MS"/>
          <w:lang w:eastAsia="en-US"/>
        </w:rPr>
        <w:t xml:space="preserve">ды, возникающие в связи с перечислением денежных средств, несет Гарант.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Настоящая гарантия вступает в силу с _________20___года ** и действует по ____</w:t>
      </w:r>
      <w:r>
        <w:rPr>
          <w:rFonts w:eastAsia="Arial Unicode MS"/>
          <w:lang w:eastAsia="en-US"/>
        </w:rPr>
        <w:t xml:space="preserve">_____20___года (включительно). 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Письменное требование платежа должно быть направлено Гаранту до 24 часов 00 минут «__» _________ по адресу: _________________________________ посредством почтовой связи либо передано непосредственно по адресу: ______________</w:t>
      </w:r>
      <w:r>
        <w:rPr>
          <w:rFonts w:eastAsia="Arial Unicode MS"/>
          <w:lang w:eastAsia="en-US"/>
        </w:rPr>
        <w:t xml:space="preserve">_________. </w:t>
      </w:r>
      <w:r>
        <w:rPr>
          <w:rFonts w:eastAsia="Arial Unicode MS"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</w:t>
      </w:r>
      <w:r>
        <w:rPr>
          <w:rFonts w:eastAsia="Arial Unicode MS"/>
          <w:i/>
          <w:lang w:eastAsia="en-US"/>
        </w:rPr>
        <w:t xml:space="preserve">, следующая за датой окончания предыдущей независимой гарантии.</w:t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Calibri"/>
          <w:bCs/>
        </w:rPr>
      </w:pPr>
      <w:r>
        <w:rPr>
          <w:rFonts w:eastAsia="Calibri"/>
          <w:bCs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</w:t>
      </w:r>
      <w:r>
        <w:rPr>
          <w:rFonts w:eastAsia="Calibri"/>
          <w:bCs/>
          <w:lang w:eastAsia="en-US"/>
        </w:rPr>
        <w:t xml:space="preserve">мой гарантии. </w:t>
      </w:r>
      <w:r>
        <w:rPr>
          <w:rFonts w:eastAsia="Calibri"/>
          <w:bCs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bCs/>
          <w:lang w:eastAsia="en-US"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</w:t>
      </w:r>
      <w:r>
        <w:rPr>
          <w:rFonts w:eastAsia="Calibri"/>
          <w:bCs/>
          <w:lang w:eastAsia="en-US"/>
        </w:rPr>
        <w:t xml:space="preserve">ия их в силу не определен в таких изменениях.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</w:t>
      </w:r>
      <w:r>
        <w:rPr>
          <w:rFonts w:eastAsia="Arial Unicode MS"/>
          <w:lang w:eastAsia="en-US"/>
        </w:rPr>
        <w:t xml:space="preserve">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lang w:eastAsia="en-US"/>
        </w:rPr>
        <w:t xml:space="preserve">Все споры, возникающие в</w:t>
      </w:r>
      <w:r>
        <w:rPr>
          <w:rFonts w:eastAsia="Calibri"/>
          <w:lang w:eastAsia="en-US"/>
        </w:rPr>
        <w:t xml:space="preserve"> связи с действительностью, толкованием или исполнением настоящей независимой гарантии, подлежат рассмотрению в Арбитражном суде _________ (указывается арбитражный суд по месту нахождения бенефициара).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Подписи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уполномоченных</w:t>
      </w:r>
      <w:r>
        <w:rPr>
          <w:rFonts w:eastAsia="Calibri"/>
          <w:bCs/>
          <w:lang w:eastAsia="en-US"/>
        </w:rPr>
        <w:t xml:space="preserve"> лиц</w:t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jc w:val="left"/>
        <w:spacing w:after="160" w:line="259" w:lineRule="auto"/>
        <w:rPr>
          <w:b/>
          <w:bCs/>
          <w:vertAlign w:val="superscript"/>
        </w:rPr>
      </w:pPr>
      <w:r>
        <w:rPr>
          <w:b/>
          <w:bCs/>
          <w:vertAlign w:val="superscript"/>
        </w:rPr>
        <w:br w:type="page" w:clear="all"/>
      </w:r>
      <w:r>
        <w:rPr>
          <w:b/>
          <w:bCs/>
          <w:vertAlign w:val="superscript"/>
        </w:rPr>
      </w:r>
    </w:p>
    <w:p>
      <w:pPr>
        <w:jc w:val="left"/>
        <w:spacing w:after="0"/>
        <w:widowControl w:val="off"/>
        <w:rPr>
          <w:b/>
          <w:bCs/>
        </w:rPr>
      </w:pPr>
      <w:r>
        <w:rPr>
          <w:b/>
          <w:bCs/>
          <w:vertAlign w:val="superscript"/>
        </w:rPr>
        <w:footnoteReference w:id="27"/>
      </w:r>
      <w:r>
        <w:rPr>
          <w:b/>
          <w:bCs/>
          <w:vertAlign w:val="superscript"/>
        </w:rPr>
        <w:t xml:space="preserve">*****</w:t>
      </w:r>
      <w:r>
        <w:rPr>
          <w:b/>
          <w:bCs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Акт приема-передачи </w:t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независимой(ых) гарантии(й)/</w:t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изменения №__ к независимой гарантии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</w:t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left"/>
        <w:spacing w:after="2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Калининград                                                                                 «__» _____________202__ г.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bCs/>
          <w:i/>
          <w:u w:val="single"/>
          <w:lang w:eastAsia="en-US"/>
        </w:rPr>
        <w:t xml:space="preserve">Наименование контрагента</w:t>
      </w:r>
      <w:r>
        <w:rPr>
          <w:rFonts w:eastAsia="Calibri"/>
          <w:bCs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</w:t>
      </w:r>
      <w:r>
        <w:rPr>
          <w:rFonts w:eastAsia="Calibri"/>
          <w:lang w:eastAsia="en-US"/>
        </w:rPr>
        <w:t xml:space="preserve">мое в дальнейшем Поставщик/Исполнитель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Устава/Доверенности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одной стороны, и Акционерное общество «Россети Янтарь» (АО «Россети Янтарь»), именуемое в дальнейшем Покупатель/Заказчик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доверенности</w:t>
      </w:r>
      <w:r>
        <w:rPr>
          <w:rFonts w:eastAsia="Calibri"/>
          <w:lang w:eastAsia="en-US"/>
        </w:rPr>
        <w:t xml:space="preserve">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другой стороны, совместно здесь и далее именуемые «Стороны», заключили настоящий Акт приема-передачи независимой(ых) гарантии(й)/изменения №__ к независимой гарантии о нижеследующем: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Поставщик/Исполнитель </w:t>
      </w:r>
      <w:r>
        <w:rPr>
          <w:rFonts w:eastAsia="Calibri"/>
          <w:bCs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передает, а Покупатель/</w:t>
      </w:r>
      <w:r>
        <w:rPr>
          <w:rFonts w:eastAsia="Calibri"/>
          <w:lang w:eastAsia="en-US"/>
        </w:rPr>
        <w:t xml:space="preserve">Заказчик </w:t>
      </w:r>
      <w:r>
        <w:rPr>
          <w:rFonts w:eastAsia="Calibri"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принимает на основании Договора №____ от ____ независимую(ые) гарантию(и)/изменение №__ к независимой гарантии со следующими параметрами: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492"/>
        <w:tblW w:w="107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559"/>
        <w:gridCol w:w="1530"/>
        <w:gridCol w:w="1134"/>
        <w:gridCol w:w="850"/>
        <w:gridCol w:w="1134"/>
        <w:gridCol w:w="1559"/>
        <w:gridCol w:w="1242"/>
      </w:tblGrid>
      <w:tr>
        <w:tblPrEx/>
        <w:trPr>
          <w:trHeight w:val="2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п/п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гарантии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изменения к гарантии (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данный блок добавляется только в сл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учае приема-передачи изменения к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)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гаранта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Сумма гарантии, руб.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2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Срок действия гарантии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Вид гарантии 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(возврат аванса/ исполнение обязательств по договору/ гарантийные обязательства и т.д.) 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выбрать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договора</w:t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185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5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30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начала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окончания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Датой передачи независимой(ых) гарантии(й)/изменения №__ к независимой гарантии является дата подписания настоящего Акта приема-передачи независимой(ых) гарантии(й)/изменения №__ к независимой гарантии.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Настоящий Акт приема-передачи составлен в двух подлинных экземплярах, имеющих одинаковую юридическую силу, по одному для каждой из сторон.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492"/>
        <w:tblW w:w="1006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387"/>
        <w:gridCol w:w="4673"/>
      </w:tblGrid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Поставщик/Исполнитель</w:t>
            </w:r>
            <w:r>
              <w:rPr>
                <w:rFonts w:eastAsia="Calibri"/>
                <w:bCs/>
                <w:lang w:eastAsia="en-US"/>
              </w:rPr>
              <w:t xml:space="preserve"> 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Поставщика/Исполнителя</w:t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Покупатель/Заказчик </w:t>
            </w:r>
            <w:r>
              <w:rPr>
                <w:rFonts w:eastAsia="Calibri"/>
                <w:bCs/>
                <w:lang w:eastAsia="en-US"/>
              </w:rPr>
              <w:t xml:space="preserve">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АО «Россети Янтарь»</w:t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trHeight w:val="655"/>
        </w:trPr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МП</w:t>
      </w:r>
      <w:r>
        <w:rPr>
          <w:rFonts w:eastAsia="Calibri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Arial (WT)">
    <w:panose1 w:val="020B0604020202020204"/>
  </w:font>
  <w:font w:name="Wingdings">
    <w:panose1 w:val="05010000000000000000"/>
  </w:font>
  <w:font w:name="Symbol">
    <w:panose1 w:val="05010000000000000000"/>
  </w:font>
  <w:font w:name="Proxima Nova ExCn Rg">
    <w:panose1 w:val="02000603000000000000"/>
  </w:font>
  <w:font w:name="MS Mincho">
    <w:panose1 w:val="020206060605050902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7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34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47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34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  <w:footnote w:id="2">
    <w:p>
      <w:pPr>
        <w:pStyle w:val="1344"/>
        <w:spacing w:after="0"/>
      </w:pPr>
      <w:r>
        <w:rPr>
          <w:rStyle w:val="1499"/>
          <w:sz w:val="28"/>
          <w:szCs w:val="28"/>
          <w:vertAlign w:val="superscript"/>
        </w:rPr>
        <w:t xml:space="preserve">1</w:t>
      </w:r>
      <w:r>
        <w:rPr>
          <w:rStyle w:val="1500"/>
        </w:rPr>
        <w:t xml:space="preserve"> Данные о наличии лицензии могут быть проверены на официальном сайте Банка России по адресу </w:t>
      </w:r>
      <w:hyperlink r:id="rId1" w:tooltip="http://www.cbr.ru/credit/." w:history="1">
        <w:r>
          <w:rPr>
            <w:rStyle w:val="1360"/>
          </w:rPr>
          <w:t xml:space="preserve">http://www.cbr.ru/credit/.</w:t>
        </w:r>
      </w:hyperlink>
      <w:r>
        <w:rPr>
          <w:rStyle w:val="1500"/>
        </w:rPr>
        <w:t xml:space="preserve"> </w:t>
      </w:r>
      <w:r/>
    </w:p>
  </w:footnote>
  <w:footnote w:id="3">
    <w:p>
      <w:pPr>
        <w:pStyle w:val="1344"/>
        <w:spacing w:after="0"/>
      </w:pPr>
      <w:r>
        <w:rPr>
          <w:rStyle w:val="1499"/>
          <w:sz w:val="28"/>
          <w:szCs w:val="28"/>
          <w:vertAlign w:val="superscript"/>
        </w:rPr>
        <w:t xml:space="preserve">2</w:t>
      </w:r>
      <w:r>
        <w:rPr>
          <w:rStyle w:val="1500"/>
        </w:rPr>
        <w:t xml:space="preserve"> В частности, запрет или ограничение на прием вкладов от физ</w:t>
      </w:r>
      <w:r>
        <w:rPr>
          <w:rStyle w:val="1500"/>
        </w:rPr>
        <w:t xml:space="preserve">ических лиц, если такая информация опубликована в официальных источниках и/или на официальном сайте Банка России по адресу </w:t>
      </w:r>
      <w:hyperlink r:id="rId2" w:tooltip="https://www.cbr.ru/analytics/strform/." w:history="1">
        <w:r>
          <w:rPr>
            <w:rStyle w:val="1360"/>
          </w:rPr>
          <w:t xml:space="preserve">https://www.cbr.ru/analytics/strfo</w:t>
        </w:r>
        <w:r>
          <w:rPr>
            <w:rStyle w:val="1360"/>
          </w:rPr>
          <w:t xml:space="preserve">rm/.</w:t>
        </w:r>
      </w:hyperlink>
      <w:r>
        <w:rPr>
          <w:rStyle w:val="1500"/>
        </w:rPr>
        <w:t xml:space="preserve"> </w:t>
      </w:r>
      <w:r/>
    </w:p>
  </w:footnote>
  <w:footnote w:id="4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pStyle w:val="1344"/>
        <w:spacing w:after="0"/>
      </w:pPr>
      <w:r>
        <w:t xml:space="preserve">Данн</w:t>
      </w:r>
      <w:r>
        <w:t xml:space="preserve">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rPr>
            <w:rStyle w:val="1360"/>
          </w:rPr>
          <w:t xml:space="preserve">ht</w:t>
        </w:r>
        <w:r>
          <w:rPr>
            <w:rStyle w:val="1360"/>
          </w:rPr>
          <w:t xml:space="preserve">tp://www.asv.org.ru/guide/bank/</w:t>
        </w:r>
      </w:hyperlink>
      <w:r>
        <w:t xml:space="preserve"> или Банка России по адресу </w:t>
      </w:r>
      <w:hyperlink r:id="rId4" w:tooltip="http://www.cbr.ru/credit/." w:history="1">
        <w:r>
          <w:rPr>
            <w:rStyle w:val="1360"/>
          </w:rPr>
          <w:t xml:space="preserve">http://www.cbr.ru/credit/.</w:t>
        </w:r>
      </w:hyperlink>
      <w:r>
        <w:t xml:space="preserve"> </w:t>
      </w:r>
      <w:r/>
    </w:p>
  </w:footnote>
  <w:footnote w:id="5">
    <w:p>
      <w:pPr>
        <w:pStyle w:val="1344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</w:t>
      </w:r>
      <w:r>
        <w:t xml:space="preserve">ьтатам конкурентной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6">
    <w:p>
      <w:pPr>
        <w:pStyle w:val="1344"/>
        <w:spacing w:after="0"/>
      </w:pPr>
      <w:r>
        <w:rPr>
          <w:rStyle w:val="1343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</w:t>
      </w:r>
      <w:r>
        <w:t xml:space="preserve">бованиям п. 3.8.3 настоящего Порядка), а также банков,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</w:t>
      </w:r>
      <w:r>
        <w:t xml:space="preserve">вующих требованиям ст. 2 Федерального закона от 21.07.2014 № 213-ФЗ - не применяются.</w:t>
      </w:r>
      <w:r/>
    </w:p>
  </w:footnote>
  <w:footnote w:id="7">
    <w:p>
      <w:pPr>
        <w:pStyle w:val="1344"/>
        <w:spacing w:after="0"/>
      </w:pPr>
      <w:r>
        <w:rPr>
          <w:rStyle w:val="1343"/>
        </w:rPr>
        <w:t xml:space="preserve">6</w:t>
      </w:r>
      <w: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</w:t>
      </w:r>
      <w:r>
        <w:t xml:space="preserve">России по адресу </w:t>
      </w:r>
      <w:hyperlink r:id="rId5" w:tooltip="http://www.cbr.ru/credit/" w:history="1">
        <w:r>
          <w:rPr>
            <w:rStyle w:val="1360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8">
    <w:p>
      <w:pPr>
        <w:pStyle w:val="1344"/>
      </w:pPr>
      <w:r>
        <w:rPr>
          <w:rStyle w:val="1499"/>
          <w:vertAlign w:val="superscript"/>
        </w:rPr>
        <w:t xml:space="preserve">8</w:t>
      </w:r>
      <w:r>
        <w:rPr>
          <w:rStyle w:val="1500"/>
        </w:rPr>
        <w:t xml:space="preserve"> Включенными в реестр кредитных рейтинговых агентств Центрального банка России. Размещен на сай</w:t>
      </w:r>
      <w:r>
        <w:rPr>
          <w:rStyle w:val="1500"/>
        </w:rPr>
        <w:t xml:space="preserve">те ЦБ РФ. </w:t>
      </w:r>
      <w:r>
        <w:rPr>
          <w:rStyle w:val="1501"/>
        </w:rPr>
        <w:t xml:space="preserve">https://cbr.ru.</w:t>
      </w:r>
      <w:r/>
    </w:p>
  </w:footnote>
  <w:footnote w:id="9">
    <w:p>
      <w:pPr>
        <w:pStyle w:val="1344"/>
      </w:pPr>
      <w:r>
        <w:rPr>
          <w:rStyle w:val="1499"/>
          <w:vertAlign w:val="superscript"/>
        </w:rPr>
        <w:t xml:space="preserve">9</w:t>
      </w:r>
      <w:r>
        <w:rPr>
          <w:rStyle w:val="150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0">
    <w:p>
      <w:pPr>
        <w:pStyle w:val="1344"/>
        <w:spacing w:after="0"/>
      </w:pPr>
      <w:r>
        <w:rPr>
          <w:rStyle w:val="1499"/>
          <w:sz w:val="28"/>
          <w:szCs w:val="28"/>
          <w:vertAlign w:val="superscript"/>
        </w:rPr>
        <w:t xml:space="preserve">1</w:t>
      </w:r>
      <w:r>
        <w:rPr>
          <w:rStyle w:val="1500"/>
        </w:rPr>
        <w:t xml:space="preserve"> Данные о наличии лицензии могут быть проверены на официальном сайте Банка России по адресу </w:t>
      </w:r>
      <w:hyperlink r:id="rId6" w:tooltip="http://www.cbr.ru/credit/." w:history="1">
        <w:r>
          <w:rPr>
            <w:rStyle w:val="1360"/>
          </w:rPr>
          <w:t xml:space="preserve">http://www.cbr.ru/credit/.</w:t>
        </w:r>
      </w:hyperlink>
      <w:r>
        <w:rPr>
          <w:rStyle w:val="1500"/>
        </w:rPr>
        <w:t xml:space="preserve"> </w:t>
      </w:r>
      <w:r/>
    </w:p>
  </w:footnote>
  <w:footnote w:id="11">
    <w:p>
      <w:pPr>
        <w:pStyle w:val="1344"/>
        <w:spacing w:after="0"/>
      </w:pPr>
      <w:r>
        <w:rPr>
          <w:rStyle w:val="1499"/>
          <w:sz w:val="28"/>
          <w:szCs w:val="28"/>
          <w:vertAlign w:val="superscript"/>
        </w:rPr>
        <w:t xml:space="preserve">2</w:t>
      </w:r>
      <w:r>
        <w:rPr>
          <w:rStyle w:val="1500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</w:t>
      </w:r>
      <w:r>
        <w:rPr>
          <w:rStyle w:val="1500"/>
        </w:rPr>
        <w:t xml:space="preserve">нка России по адресу </w:t>
      </w:r>
      <w:hyperlink r:id="rId7" w:tooltip="https://www.cbr.ru/analytics/strform/." w:history="1">
        <w:r>
          <w:rPr>
            <w:rStyle w:val="1360"/>
          </w:rPr>
          <w:t xml:space="preserve">https://www.cbr.ru/analytics/strform/.</w:t>
        </w:r>
      </w:hyperlink>
      <w:r>
        <w:rPr>
          <w:rStyle w:val="1500"/>
        </w:rPr>
        <w:t xml:space="preserve"> </w:t>
      </w:r>
      <w:r/>
    </w:p>
  </w:footnote>
  <w:footnote w:id="12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</w:t>
      </w:r>
      <w:r>
        <w:rPr>
          <w:sz w:val="20"/>
          <w:szCs w:val="20"/>
        </w:rPr>
        <w:t xml:space="preserve">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pStyle w:val="1344"/>
        <w:spacing w:after="0"/>
      </w:pPr>
      <w:r>
        <w:t xml:space="preserve">Данные об участии банка в Системе страхования вкладов могут быть проверены на официальных сайтах Государст</w:t>
      </w:r>
      <w:r>
        <w:t xml:space="preserve">венной корпорации «Агентство по страхованию вкладов» по адресу </w:t>
      </w:r>
      <w:hyperlink r:id="rId8" w:tooltip="http://www.asv.org.ru/guide/bank/" w:history="1">
        <w:r>
          <w:rPr>
            <w:rStyle w:val="1360"/>
          </w:rPr>
          <w:t xml:space="preserve">http://www.asv.org.ru/guide/bank/</w:t>
        </w:r>
      </w:hyperlink>
      <w:r>
        <w:t xml:space="preserve"> или Банка России по адресу </w:t>
      </w:r>
      <w:hyperlink r:id="rId9" w:tooltip="http://www.cbr.ru/credit/." w:history="1">
        <w:r>
          <w:rPr>
            <w:rStyle w:val="1360"/>
          </w:rPr>
          <w:t xml:space="preserve">http://www.cbr.ru/credit/.</w:t>
        </w:r>
      </w:hyperlink>
      <w:r>
        <w:t xml:space="preserve"> </w:t>
      </w:r>
      <w:r/>
    </w:p>
  </w:footnote>
  <w:footnote w:id="13">
    <w:p>
      <w:pPr>
        <w:pStyle w:val="1344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конкурентной закупки с участием субъектов малого и среднего предпринимательства (в соответствии</w:t>
      </w:r>
      <w:r>
        <w:t xml:space="preserve"> с абз. 2 п. 3.8.1 Порядка).</w:t>
      </w:r>
      <w:r/>
    </w:p>
  </w:footnote>
  <w:footnote w:id="14">
    <w:p>
      <w:pPr>
        <w:pStyle w:val="1344"/>
        <w:spacing w:after="0"/>
      </w:pPr>
      <w:r>
        <w:rPr>
          <w:rStyle w:val="1343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требованиям п. 3.8.3 настоящего Порядка), а также банков, в отношении которых Банком России принято решен</w:t>
      </w:r>
      <w:r>
        <w:t xml:space="preserve">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  <w:r/>
    </w:p>
  </w:footnote>
  <w:footnote w:id="15">
    <w:p>
      <w:pPr>
        <w:pStyle w:val="1344"/>
        <w:spacing w:after="0"/>
      </w:pPr>
      <w:r>
        <w:rPr>
          <w:rStyle w:val="1343"/>
        </w:rPr>
        <w:t xml:space="preserve">6</w:t>
      </w:r>
      <w:r>
        <w:t xml:space="preserve"> Собственный ка</w:t>
      </w:r>
      <w:r>
        <w:t xml:space="preserve">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0" w:tooltip="http://www.cbr.ru/credit/" w:history="1">
        <w:r>
          <w:rPr>
            <w:rStyle w:val="1360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16">
    <w:p>
      <w:pPr>
        <w:pStyle w:val="1344"/>
        <w:spacing w:after="0"/>
      </w:pPr>
      <w:r>
        <w:rPr>
          <w:rStyle w:val="1499"/>
          <w:vertAlign w:val="superscript"/>
        </w:rPr>
        <w:t xml:space="preserve">8</w:t>
      </w:r>
      <w:r>
        <w:rPr>
          <w:rStyle w:val="1500"/>
        </w:rPr>
        <w:t xml:space="preserve"> Включенными в реестр кредитных рейтинговых агентств Центрального банка России. Размещен на сайте ЦБ РФ. </w:t>
      </w:r>
      <w:r>
        <w:rPr>
          <w:rStyle w:val="1501"/>
        </w:rPr>
        <w:t xml:space="preserve">https://cbr.ru.</w:t>
      </w:r>
      <w:r/>
    </w:p>
  </w:footnote>
  <w:footnote w:id="17">
    <w:p>
      <w:pPr>
        <w:pStyle w:val="1344"/>
        <w:spacing w:after="0"/>
      </w:pPr>
      <w:r>
        <w:rPr>
          <w:rStyle w:val="1499"/>
          <w:vertAlign w:val="superscript"/>
        </w:rPr>
        <w:t xml:space="preserve">9</w:t>
      </w:r>
      <w:r>
        <w:rPr>
          <w:rStyle w:val="150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8">
    <w:p>
      <w:pPr>
        <w:pStyle w:val="1344"/>
      </w:pPr>
      <w:r>
        <w:rPr>
          <w:rStyle w:val="1343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</w:t>
      </w:r>
      <w:r>
        <w:rPr>
          <w:rFonts w:eastAsiaTheme="minorHAnsi"/>
          <w:lang w:eastAsia="en-US"/>
        </w:rPr>
        <w:t xml:space="preserve">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19">
    <w:p>
      <w:pPr>
        <w:pStyle w:val="1344"/>
      </w:pPr>
      <w:r>
        <w:rPr>
          <w:rStyle w:val="1343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</w:t>
      </w:r>
      <w:r>
        <w:rPr>
          <w:rFonts w:eastAsiaTheme="minorHAnsi"/>
          <w:lang w:eastAsia="en-US"/>
        </w:rPr>
        <w:t xml:space="preserve">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20">
    <w:p>
      <w:pPr>
        <w:pStyle w:val="1344"/>
      </w:pPr>
      <w:r>
        <w:rPr>
          <w:rStyle w:val="1343"/>
        </w:rPr>
        <w:footnoteRef/>
      </w:r>
      <w:r>
        <w:t xml:space="preserve"> </w:t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лицом.</w:t>
      </w:r>
      <w:r/>
    </w:p>
  </w:footnote>
  <w:footnote w:id="21">
    <w:p>
      <w:pPr>
        <w:pStyle w:val="1344"/>
        <w:spacing w:after="0"/>
      </w:pPr>
      <w:r>
        <w:rPr>
          <w:rStyle w:val="1343"/>
        </w:rPr>
        <w:footnoteRef/>
      </w:r>
      <w:r>
        <w:t xml:space="preserve"> В соо</w:t>
      </w:r>
      <w:r>
        <w:t xml:space="preserve">тветствии со ст. 102 НК РФ – данная информация не является налоговой тайной</w:t>
      </w:r>
      <w:r/>
    </w:p>
  </w:footnote>
  <w:footnote w:id="22">
    <w:p>
      <w:pPr>
        <w:pStyle w:val="1344"/>
        <w:spacing w:after="0"/>
      </w:pPr>
      <w:r>
        <w:rPr>
          <w:rStyle w:val="1343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3">
    <w:p>
      <w:pPr>
        <w:pStyle w:val="1344"/>
        <w:spacing w:after="0"/>
      </w:pPr>
      <w:r>
        <w:rPr>
          <w:rStyle w:val="1343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4">
    <w:p>
      <w:pPr>
        <w:pStyle w:val="1344"/>
      </w:pPr>
      <w:r>
        <w:rPr>
          <w:rStyle w:val="1343"/>
        </w:rPr>
        <w:footnoteRef/>
      </w:r>
      <w:r>
        <w:t xml:space="preserve"> Лица, занима</w:t>
      </w:r>
      <w:r>
        <w:t xml:space="preserve">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</w:t>
      </w:r>
      <w:r>
        <w:t xml:space="preserve">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</w:t>
      </w:r>
      <w:r>
        <w:t xml:space="preserve"> Федерации. (</w:t>
      </w:r>
      <w:r>
        <w:rPr>
          <w:b/>
        </w:rPr>
        <w:t xml:space="preserve">Перечень публичных должностных лиц указан в </w:t>
      </w:r>
      <w:r/>
    </w:p>
  </w:footnote>
  <w:footnote w:id="25">
    <w:p>
      <w:pPr>
        <w:pStyle w:val="1344"/>
      </w:pPr>
      <w:r>
        <w:rPr>
          <w:rStyle w:val="1343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</w:t>
      </w:r>
      <w:r>
        <w:t xml:space="preserve"> не является кредитной организацией.</w:t>
      </w:r>
      <w:r/>
    </w:p>
  </w:footnote>
  <w:footnote w:id="26">
    <w:p>
      <w:pPr>
        <w:pStyle w:val="1344"/>
      </w:pPr>
      <w:r>
        <w:rPr>
          <w:rStyle w:val="1343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</w:t>
      </w:r>
      <w:r>
        <w:t xml:space="preserve">й организацией.</w:t>
      </w:r>
      <w:r/>
    </w:p>
  </w:footnote>
  <w:footnote w:id="27">
    <w:p>
      <w:pPr>
        <w:pStyle w:val="1344"/>
      </w:pPr>
      <w:r>
        <w:rPr>
          <w:rStyle w:val="1343"/>
        </w:rPr>
        <w:t xml:space="preserve">****</w:t>
      </w:r>
      <w:r>
        <w:t xml:space="preserve"> </w:t>
      </w:r>
      <w:r>
        <w:rPr>
          <w:bCs/>
        </w:rPr>
        <w:t xml:space="preserve">Настоящая форма применяется в случае использования независимых гарантий на этапе заключения договора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313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pStyle w:val="1407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410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411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 w:ascii="Times New Roman" w:hAnsi="Times New Roman" w:cs="Times New Roman"/>
        <w:b/>
        <w:color w:val="auto"/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3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7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9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3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5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93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481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444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2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440" w:hanging="1080"/>
      </w:pPr>
      <w:rPr>
        <w:rFonts w:hint="default" w:cs="Times New Roman"/>
        <w:b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decimal"/>
      <w:pStyle w:val="1475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477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476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478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5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2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52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1"/>
  </w:num>
  <w:num w:numId="5">
    <w:abstractNumId w:val="32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2"/>
  </w:num>
  <w:num w:numId="9">
    <w:abstractNumId w:val="24"/>
  </w:num>
  <w:num w:numId="10">
    <w:abstractNumId w:val="49"/>
  </w:num>
  <w:num w:numId="11">
    <w:abstractNumId w:val="5"/>
  </w:num>
  <w:num w:numId="12">
    <w:abstractNumId w:val="19"/>
  </w:num>
  <w:num w:numId="13">
    <w:abstractNumId w:val="46"/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0"/>
  </w:num>
  <w:num w:numId="17">
    <w:abstractNumId w:val="30"/>
  </w:num>
  <w:num w:numId="18">
    <w:abstractNumId w:val="29"/>
  </w:num>
  <w:num w:numId="19">
    <w:abstractNumId w:val="25"/>
  </w:num>
  <w:num w:numId="20">
    <w:abstractNumId w:val="51"/>
  </w:num>
  <w:num w:numId="21">
    <w:abstractNumId w:val="23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48"/>
  </w:num>
  <w:num w:numId="25">
    <w:abstractNumId w:val="37"/>
  </w:num>
  <w:num w:numId="26">
    <w:abstractNumId w:val="31"/>
  </w:num>
  <w:num w:numId="27">
    <w:abstractNumId w:val="57"/>
  </w:num>
  <w:num w:numId="28">
    <w:abstractNumId w:val="4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2"/>
  </w:num>
  <w:num w:numId="31">
    <w:abstractNumId w:val="36"/>
  </w:num>
  <w:num w:numId="32">
    <w:abstractNumId w:val="7"/>
  </w:num>
  <w:num w:numId="33">
    <w:abstractNumId w:val="28"/>
  </w:num>
  <w:num w:numId="34">
    <w:abstractNumId w:val="40"/>
  </w:num>
  <w:num w:numId="35">
    <w:abstractNumId w:val="53"/>
  </w:num>
  <w:num w:numId="36">
    <w:abstractNumId w:val="13"/>
  </w:num>
  <w:num w:numId="37">
    <w:abstractNumId w:val="34"/>
  </w:num>
  <w:num w:numId="38">
    <w:abstractNumId w:val="42"/>
  </w:num>
  <w:num w:numId="39">
    <w:abstractNumId w:val="44"/>
  </w:num>
  <w:num w:numId="40">
    <w:abstractNumId w:val="35"/>
  </w:num>
  <w:num w:numId="41">
    <w:abstractNumId w:val="58"/>
  </w:num>
  <w:num w:numId="42">
    <w:abstractNumId w:val="55"/>
  </w:num>
  <w:num w:numId="43">
    <w:abstractNumId w:val="56"/>
  </w:num>
  <w:num w:numId="44">
    <w:abstractNumId w:val="33"/>
  </w:num>
  <w:num w:numId="45">
    <w:abstractNumId w:val="27"/>
  </w:num>
  <w:num w:numId="46">
    <w:abstractNumId w:val="18"/>
  </w:num>
  <w:num w:numId="47">
    <w:abstractNumId w:val="39"/>
  </w:num>
  <w:num w:numId="48">
    <w:abstractNumId w:val="20"/>
  </w:num>
  <w:num w:numId="49">
    <w:abstractNumId w:val="12"/>
  </w:num>
  <w:num w:numId="50">
    <w:abstractNumId w:val="0"/>
  </w:num>
  <w:num w:numId="51">
    <w:abstractNumId w:val="26"/>
  </w:num>
  <w:num w:numId="52">
    <w:abstractNumId w:val="16"/>
  </w:num>
  <w:num w:numId="53">
    <w:abstractNumId w:val="4"/>
  </w:num>
  <w:num w:numId="54">
    <w:abstractNumId w:val="50"/>
  </w:num>
  <w:num w:numId="55">
    <w:abstractNumId w:val="47"/>
  </w:num>
  <w:num w:numId="56">
    <w:abstractNumId w:val="54"/>
  </w:num>
  <w:num w:numId="57">
    <w:abstractNumId w:val="9"/>
  </w:num>
  <w:num w:numId="58">
    <w:abstractNumId w:val="8"/>
  </w:num>
  <w:num w:numId="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39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0">
    <w:name w:val="Heading 1"/>
    <w:basedOn w:val="1139"/>
    <w:next w:val="1139"/>
    <w:link w:val="1302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141">
    <w:name w:val="Heading 2"/>
    <w:basedOn w:val="1139"/>
    <w:next w:val="1139"/>
    <w:link w:val="1303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142">
    <w:name w:val="Heading 3"/>
    <w:basedOn w:val="1139"/>
    <w:next w:val="1139"/>
    <w:link w:val="1304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143">
    <w:name w:val="Heading 4"/>
    <w:basedOn w:val="1139"/>
    <w:next w:val="1139"/>
    <w:link w:val="1305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144">
    <w:name w:val="Heading 5"/>
    <w:basedOn w:val="1139"/>
    <w:next w:val="1139"/>
    <w:link w:val="1306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145">
    <w:name w:val="Heading 6"/>
    <w:basedOn w:val="1139"/>
    <w:next w:val="1139"/>
    <w:link w:val="1307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146">
    <w:name w:val="Heading 7"/>
    <w:basedOn w:val="1139"/>
    <w:next w:val="1139"/>
    <w:link w:val="1308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147">
    <w:name w:val="Heading 8"/>
    <w:basedOn w:val="1139"/>
    <w:next w:val="1139"/>
    <w:link w:val="1309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148">
    <w:name w:val="Heading 9"/>
    <w:basedOn w:val="1139"/>
    <w:next w:val="1139"/>
    <w:link w:val="1310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149" w:default="1">
    <w:name w:val="Default Paragraph Font"/>
    <w:uiPriority w:val="1"/>
    <w:semiHidden/>
    <w:unhideWhenUsed/>
  </w:style>
  <w:style w:type="table" w:styleId="11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51" w:default="1">
    <w:name w:val="No List"/>
    <w:uiPriority w:val="99"/>
    <w:semiHidden/>
    <w:unhideWhenUsed/>
  </w:style>
  <w:style w:type="character" w:styleId="1152" w:customStyle="1">
    <w:name w:val="Quote Char"/>
    <w:uiPriority w:val="29"/>
    <w:rPr>
      <w:i/>
    </w:rPr>
  </w:style>
  <w:style w:type="character" w:styleId="1153" w:customStyle="1">
    <w:name w:val="Intense Quote Char"/>
    <w:uiPriority w:val="30"/>
    <w:rPr>
      <w:i/>
    </w:rPr>
  </w:style>
  <w:style w:type="character" w:styleId="1154" w:customStyle="1">
    <w:name w:val="Heading 1 Char"/>
    <w:basedOn w:val="1149"/>
    <w:uiPriority w:val="9"/>
    <w:rPr>
      <w:rFonts w:ascii="Arial" w:hAnsi="Arial" w:eastAsia="Arial" w:cs="Arial"/>
      <w:sz w:val="40"/>
      <w:szCs w:val="40"/>
    </w:rPr>
  </w:style>
  <w:style w:type="character" w:styleId="1155" w:customStyle="1">
    <w:name w:val="Heading 2 Char"/>
    <w:basedOn w:val="1149"/>
    <w:uiPriority w:val="9"/>
    <w:rPr>
      <w:rFonts w:ascii="Arial" w:hAnsi="Arial" w:eastAsia="Arial" w:cs="Arial"/>
      <w:sz w:val="34"/>
    </w:rPr>
  </w:style>
  <w:style w:type="character" w:styleId="1156" w:customStyle="1">
    <w:name w:val="Heading 3 Char"/>
    <w:basedOn w:val="1149"/>
    <w:uiPriority w:val="9"/>
    <w:rPr>
      <w:rFonts w:ascii="Arial" w:hAnsi="Arial" w:eastAsia="Arial" w:cs="Arial"/>
      <w:sz w:val="30"/>
      <w:szCs w:val="30"/>
    </w:rPr>
  </w:style>
  <w:style w:type="character" w:styleId="1157" w:customStyle="1">
    <w:name w:val="Heading 4 Char"/>
    <w:basedOn w:val="1149"/>
    <w:uiPriority w:val="9"/>
    <w:rPr>
      <w:rFonts w:ascii="Arial" w:hAnsi="Arial" w:eastAsia="Arial" w:cs="Arial"/>
      <w:b/>
      <w:bCs/>
      <w:sz w:val="26"/>
      <w:szCs w:val="26"/>
    </w:rPr>
  </w:style>
  <w:style w:type="character" w:styleId="1158" w:customStyle="1">
    <w:name w:val="Heading 5 Char"/>
    <w:basedOn w:val="1149"/>
    <w:uiPriority w:val="9"/>
    <w:rPr>
      <w:rFonts w:ascii="Arial" w:hAnsi="Arial" w:eastAsia="Arial" w:cs="Arial"/>
      <w:b/>
      <w:bCs/>
      <w:sz w:val="24"/>
      <w:szCs w:val="24"/>
    </w:rPr>
  </w:style>
  <w:style w:type="character" w:styleId="1159" w:customStyle="1">
    <w:name w:val="Heading 6 Char"/>
    <w:basedOn w:val="1149"/>
    <w:uiPriority w:val="9"/>
    <w:rPr>
      <w:rFonts w:ascii="Arial" w:hAnsi="Arial" w:eastAsia="Arial" w:cs="Arial"/>
      <w:b/>
      <w:bCs/>
      <w:sz w:val="22"/>
      <w:szCs w:val="22"/>
    </w:rPr>
  </w:style>
  <w:style w:type="character" w:styleId="1160" w:customStyle="1">
    <w:name w:val="Heading 7 Char"/>
    <w:basedOn w:val="11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61" w:customStyle="1">
    <w:name w:val="Heading 8 Char"/>
    <w:basedOn w:val="1149"/>
    <w:uiPriority w:val="9"/>
    <w:rPr>
      <w:rFonts w:ascii="Arial" w:hAnsi="Arial" w:eastAsia="Arial" w:cs="Arial"/>
      <w:i/>
      <w:iCs/>
      <w:sz w:val="22"/>
      <w:szCs w:val="22"/>
    </w:rPr>
  </w:style>
  <w:style w:type="character" w:styleId="1162" w:customStyle="1">
    <w:name w:val="Heading 9 Char"/>
    <w:basedOn w:val="1149"/>
    <w:uiPriority w:val="9"/>
    <w:rPr>
      <w:rFonts w:ascii="Arial" w:hAnsi="Arial" w:eastAsia="Arial" w:cs="Arial"/>
      <w:i/>
      <w:iCs/>
      <w:sz w:val="21"/>
      <w:szCs w:val="21"/>
    </w:rPr>
  </w:style>
  <w:style w:type="character" w:styleId="1163" w:customStyle="1">
    <w:name w:val="Title Char"/>
    <w:basedOn w:val="1149"/>
    <w:uiPriority w:val="10"/>
    <w:rPr>
      <w:sz w:val="48"/>
      <w:szCs w:val="48"/>
    </w:rPr>
  </w:style>
  <w:style w:type="character" w:styleId="1164" w:customStyle="1">
    <w:name w:val="Subtitle Char"/>
    <w:basedOn w:val="1149"/>
    <w:uiPriority w:val="11"/>
    <w:rPr>
      <w:sz w:val="24"/>
      <w:szCs w:val="24"/>
    </w:rPr>
  </w:style>
  <w:style w:type="paragraph" w:styleId="1165">
    <w:name w:val="Quote"/>
    <w:basedOn w:val="1139"/>
    <w:next w:val="1139"/>
    <w:link w:val="1166"/>
    <w:uiPriority w:val="29"/>
    <w:qFormat/>
    <w:pPr>
      <w:ind w:left="720" w:right="720"/>
    </w:pPr>
    <w:rPr>
      <w:i/>
    </w:rPr>
  </w:style>
  <w:style w:type="character" w:styleId="1166" w:customStyle="1">
    <w:name w:val="Цитата 2 Знак"/>
    <w:link w:val="1165"/>
    <w:uiPriority w:val="29"/>
    <w:rPr>
      <w:i/>
    </w:rPr>
  </w:style>
  <w:style w:type="paragraph" w:styleId="1167">
    <w:name w:val="Intense Quote"/>
    <w:basedOn w:val="1139"/>
    <w:next w:val="1139"/>
    <w:link w:val="116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68" w:customStyle="1">
    <w:name w:val="Выделенная цитата Знак"/>
    <w:link w:val="1167"/>
    <w:uiPriority w:val="30"/>
    <w:rPr>
      <w:i/>
    </w:rPr>
  </w:style>
  <w:style w:type="character" w:styleId="1169" w:customStyle="1">
    <w:name w:val="Header Char"/>
    <w:basedOn w:val="1149"/>
    <w:uiPriority w:val="99"/>
  </w:style>
  <w:style w:type="character" w:styleId="1170" w:customStyle="1">
    <w:name w:val="Footer Char"/>
    <w:basedOn w:val="1149"/>
    <w:uiPriority w:val="99"/>
  </w:style>
  <w:style w:type="character" w:styleId="1171" w:customStyle="1">
    <w:name w:val="Caption Char"/>
    <w:uiPriority w:val="99"/>
  </w:style>
  <w:style w:type="table" w:styleId="1172" w:customStyle="1">
    <w:name w:val="Table Grid Light"/>
    <w:basedOn w:val="115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73">
    <w:name w:val="Plain Table 1"/>
    <w:basedOn w:val="115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74">
    <w:name w:val="Plain Table 2"/>
    <w:basedOn w:val="115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75">
    <w:name w:val="Plain Table 3"/>
    <w:basedOn w:val="11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76">
    <w:name w:val="Plain Table 4"/>
    <w:basedOn w:val="11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7">
    <w:name w:val="Plain Table 5"/>
    <w:basedOn w:val="11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78">
    <w:name w:val="Grid Table 1 Light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9" w:customStyle="1">
    <w:name w:val="Grid Table 1 Light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0" w:customStyle="1">
    <w:name w:val="Grid Table 1 Light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1" w:customStyle="1">
    <w:name w:val="Grid Table 1 Light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2" w:customStyle="1">
    <w:name w:val="Grid Table 1 Light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3" w:customStyle="1">
    <w:name w:val="Grid Table 1 Light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4" w:customStyle="1">
    <w:name w:val="Grid Table 1 Light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5">
    <w:name w:val="Grid Table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 w:customStyle="1">
    <w:name w:val="Grid Table 2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 w:customStyle="1">
    <w:name w:val="Grid Table 2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 w:customStyle="1">
    <w:name w:val="Grid Table 2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 w:customStyle="1">
    <w:name w:val="Grid Table 2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 w:customStyle="1">
    <w:name w:val="Grid Table 2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 w:customStyle="1">
    <w:name w:val="Grid Table 2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Grid Table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 w:customStyle="1">
    <w:name w:val="Grid Table 3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 w:customStyle="1">
    <w:name w:val="Grid Table 3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 w:customStyle="1">
    <w:name w:val="Grid Table 3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6" w:customStyle="1">
    <w:name w:val="Grid Table 3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7" w:customStyle="1">
    <w:name w:val="Grid Table 3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8" w:customStyle="1">
    <w:name w:val="Grid Table 3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9">
    <w:name w:val="Grid Table 4"/>
    <w:basedOn w:val="11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00" w:customStyle="1">
    <w:name w:val="Grid Table 4 - Accent 1"/>
    <w:basedOn w:val="11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201" w:customStyle="1">
    <w:name w:val="Grid Table 4 - Accent 2"/>
    <w:basedOn w:val="11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202" w:customStyle="1">
    <w:name w:val="Grid Table 4 - Accent 3"/>
    <w:basedOn w:val="11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203" w:customStyle="1">
    <w:name w:val="Grid Table 4 - Accent 4"/>
    <w:basedOn w:val="11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204" w:customStyle="1">
    <w:name w:val="Grid Table 4 - Accent 5"/>
    <w:basedOn w:val="11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205" w:customStyle="1">
    <w:name w:val="Grid Table 4 - Accent 6"/>
    <w:basedOn w:val="11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206">
    <w:name w:val="Grid Table 5 Dark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07" w:customStyle="1">
    <w:name w:val="Grid Table 5 Dark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208" w:customStyle="1">
    <w:name w:val="Grid Table 5 Dark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209" w:customStyle="1">
    <w:name w:val="Grid Table 5 Dark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210" w:customStyle="1">
    <w:name w:val="Grid Table 5 Dark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211" w:customStyle="1">
    <w:name w:val="Grid Table 5 Dark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212" w:customStyle="1">
    <w:name w:val="Grid Table 5 Dark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213">
    <w:name w:val="Grid Table 6 Colorful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14" w:customStyle="1">
    <w:name w:val="Grid Table 6 Colorful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215" w:customStyle="1">
    <w:name w:val="Grid Table 6 Colorful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216" w:customStyle="1">
    <w:name w:val="Grid Table 6 Colorful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217" w:customStyle="1">
    <w:name w:val="Grid Table 6 Colorful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218" w:customStyle="1">
    <w:name w:val="Grid Table 6 Colorful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19" w:customStyle="1">
    <w:name w:val="Grid Table 6 Colorful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20">
    <w:name w:val="Grid Table 7 Colorful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1" w:customStyle="1">
    <w:name w:val="Grid Table 7 Colorful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2" w:customStyle="1">
    <w:name w:val="Grid Table 7 Colorful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3" w:customStyle="1">
    <w:name w:val="Grid Table 7 Colorful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4" w:customStyle="1">
    <w:name w:val="Grid Table 7 Colorful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5" w:customStyle="1">
    <w:name w:val="Grid Table 7 Colorful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6" w:customStyle="1">
    <w:name w:val="Grid Table 7 Colorful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27">
    <w:name w:val="List Table 1 Light"/>
    <w:basedOn w:val="11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8" w:customStyle="1">
    <w:name w:val="List Table 1 Light - Accent 1"/>
    <w:basedOn w:val="11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9" w:customStyle="1">
    <w:name w:val="List Table 1 Light - Accent 2"/>
    <w:basedOn w:val="11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0" w:customStyle="1">
    <w:name w:val="List Table 1 Light - Accent 3"/>
    <w:basedOn w:val="11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1" w:customStyle="1">
    <w:name w:val="List Table 1 Light - Accent 4"/>
    <w:basedOn w:val="11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2" w:customStyle="1">
    <w:name w:val="List Table 1 Light - Accent 5"/>
    <w:basedOn w:val="11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3" w:customStyle="1">
    <w:name w:val="List Table 1 Light - Accent 6"/>
    <w:basedOn w:val="11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4">
    <w:name w:val="List Table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35" w:customStyle="1">
    <w:name w:val="List Table 2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236" w:customStyle="1">
    <w:name w:val="List Table 2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237" w:customStyle="1">
    <w:name w:val="List Table 2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238" w:customStyle="1">
    <w:name w:val="List Table 2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239" w:customStyle="1">
    <w:name w:val="List Table 2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240" w:customStyle="1">
    <w:name w:val="List Table 2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241">
    <w:name w:val="List Table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2" w:customStyle="1">
    <w:name w:val="List Table 3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3" w:customStyle="1">
    <w:name w:val="List Table 3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4" w:customStyle="1">
    <w:name w:val="List Table 3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5" w:customStyle="1">
    <w:name w:val="List Table 3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6" w:customStyle="1">
    <w:name w:val="List Table 3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7" w:customStyle="1">
    <w:name w:val="List Table 3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8">
    <w:name w:val="List Table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9" w:customStyle="1">
    <w:name w:val="List Table 4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0" w:customStyle="1">
    <w:name w:val="List Table 4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1" w:customStyle="1">
    <w:name w:val="List Table 4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2" w:customStyle="1">
    <w:name w:val="List Table 4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3" w:customStyle="1">
    <w:name w:val="List Table 4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4" w:customStyle="1">
    <w:name w:val="List Table 4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5">
    <w:name w:val="List Table 5 Dark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56" w:customStyle="1">
    <w:name w:val="List Table 5 Dark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57" w:customStyle="1">
    <w:name w:val="List Table 5 Dark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58" w:customStyle="1">
    <w:name w:val="List Table 5 Dark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59" w:customStyle="1">
    <w:name w:val="List Table 5 Dark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0" w:customStyle="1">
    <w:name w:val="List Table 5 Dark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1" w:customStyle="1">
    <w:name w:val="List Table 5 Dark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2">
    <w:name w:val="List Table 6 Colorful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63" w:customStyle="1">
    <w:name w:val="List Table 6 Colorful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264" w:customStyle="1">
    <w:name w:val="List Table 6 Colorful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265" w:customStyle="1">
    <w:name w:val="List Table 6 Colorful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266" w:customStyle="1">
    <w:name w:val="List Table 6 Colorful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267" w:customStyle="1">
    <w:name w:val="List Table 6 Colorful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268" w:customStyle="1">
    <w:name w:val="List Table 6 Colorful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269">
    <w:name w:val="List Table 7 Colorful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0" w:customStyle="1">
    <w:name w:val="List Table 7 Colorful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1" w:customStyle="1">
    <w:name w:val="List Table 7 Colorful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2" w:customStyle="1">
    <w:name w:val="List Table 7 Colorful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3" w:customStyle="1">
    <w:name w:val="List Table 7 Colorful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4" w:customStyle="1">
    <w:name w:val="List Table 7 Colorful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5" w:customStyle="1">
    <w:name w:val="List Table 7 Colorful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76" w:customStyle="1">
    <w:name w:val="Lined - Accent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77" w:customStyle="1">
    <w:name w:val="Lined - Accent 1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78" w:customStyle="1">
    <w:name w:val="Lined - Accent 2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79" w:customStyle="1">
    <w:name w:val="Lined - Accent 3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80" w:customStyle="1">
    <w:name w:val="Lined - Accent 4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81" w:customStyle="1">
    <w:name w:val="Lined - Accent 5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82" w:customStyle="1">
    <w:name w:val="Lined - Accent 6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83" w:customStyle="1">
    <w:name w:val="Bordered &amp; Lined - Accent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84" w:customStyle="1">
    <w:name w:val="Bordered &amp; Lined - Accent 1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85" w:customStyle="1">
    <w:name w:val="Bordered &amp; Lined - Accent 2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86" w:customStyle="1">
    <w:name w:val="Bordered &amp; Lined - Accent 3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87" w:customStyle="1">
    <w:name w:val="Bordered &amp; Lined - Accent 4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88" w:customStyle="1">
    <w:name w:val="Bordered &amp; Lined - Accent 5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89" w:customStyle="1">
    <w:name w:val="Bordered &amp; Lined - Accent 6"/>
    <w:basedOn w:val="11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90" w:customStyle="1">
    <w:name w:val="Bordered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91" w:customStyle="1">
    <w:name w:val="Bordered - Accent 1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292" w:customStyle="1">
    <w:name w:val="Bordered - Accent 2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293" w:customStyle="1">
    <w:name w:val="Bordered - Accent 3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294" w:customStyle="1">
    <w:name w:val="Bordered - Accent 4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295" w:customStyle="1">
    <w:name w:val="Bordered - Accent 5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296" w:customStyle="1">
    <w:name w:val="Bordered - Accent 6"/>
    <w:basedOn w:val="11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297" w:customStyle="1">
    <w:name w:val="Footnote Text Char"/>
    <w:uiPriority w:val="99"/>
    <w:rPr>
      <w:sz w:val="18"/>
    </w:rPr>
  </w:style>
  <w:style w:type="character" w:styleId="1298" w:customStyle="1">
    <w:name w:val="Endnote Text Char"/>
    <w:uiPriority w:val="99"/>
    <w:rPr>
      <w:sz w:val="20"/>
    </w:rPr>
  </w:style>
  <w:style w:type="character" w:styleId="1299">
    <w:name w:val="endnote reference"/>
    <w:basedOn w:val="1149"/>
    <w:uiPriority w:val="99"/>
    <w:semiHidden/>
    <w:unhideWhenUsed/>
    <w:rPr>
      <w:vertAlign w:val="superscript"/>
    </w:rPr>
  </w:style>
  <w:style w:type="paragraph" w:styleId="1300">
    <w:name w:val="TOC Heading"/>
    <w:uiPriority w:val="39"/>
    <w:unhideWhenUsed/>
  </w:style>
  <w:style w:type="paragraph" w:styleId="1301">
    <w:name w:val="table of figures"/>
    <w:basedOn w:val="1139"/>
    <w:next w:val="1139"/>
    <w:uiPriority w:val="99"/>
    <w:unhideWhenUsed/>
    <w:pPr>
      <w:spacing w:after="0"/>
    </w:pPr>
  </w:style>
  <w:style w:type="character" w:styleId="1302" w:customStyle="1">
    <w:name w:val="Заголовок 1 Знак1"/>
    <w:link w:val="1140"/>
    <w:uiPriority w:val="9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303" w:customStyle="1">
    <w:name w:val="Заголовок 2 Знак"/>
    <w:basedOn w:val="1149"/>
    <w:link w:val="1141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1304" w:customStyle="1">
    <w:name w:val="Заголовок 3 Знак"/>
    <w:basedOn w:val="1149"/>
    <w:link w:val="1142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1305" w:customStyle="1">
    <w:name w:val="Заголовок 4 Знак"/>
    <w:basedOn w:val="1149"/>
    <w:link w:val="1143"/>
    <w:uiPriority w:val="99"/>
    <w:rPr>
      <w:rFonts w:ascii="Arial" w:hAnsi="Arial" w:eastAsia="Times New Roman" w:cs="Arial"/>
      <w:sz w:val="24"/>
      <w:szCs w:val="24"/>
      <w:lang w:eastAsia="ru-RU"/>
    </w:rPr>
  </w:style>
  <w:style w:type="character" w:styleId="1306" w:customStyle="1">
    <w:name w:val="Заголовок 5 Знак"/>
    <w:basedOn w:val="1149"/>
    <w:link w:val="1144"/>
    <w:uiPriority w:val="99"/>
    <w:rPr>
      <w:rFonts w:ascii="Calibri" w:hAnsi="Calibri" w:eastAsia="Times New Roman" w:cs="Calibri"/>
      <w:b/>
      <w:bCs/>
      <w:i/>
      <w:iCs/>
      <w:sz w:val="26"/>
      <w:szCs w:val="26"/>
      <w:lang w:eastAsia="ru-RU"/>
    </w:rPr>
  </w:style>
  <w:style w:type="character" w:styleId="1307" w:customStyle="1">
    <w:name w:val="Заголовок 6 Знак"/>
    <w:basedOn w:val="1149"/>
    <w:link w:val="1145"/>
    <w:uiPriority w:val="99"/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character" w:styleId="1308" w:customStyle="1">
    <w:name w:val="Заголовок 7 Знак"/>
    <w:basedOn w:val="1149"/>
    <w:link w:val="1146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1309" w:customStyle="1">
    <w:name w:val="Заголовок 8 Знак"/>
    <w:basedOn w:val="1149"/>
    <w:link w:val="1147"/>
    <w:uiPriority w:val="99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1310" w:customStyle="1">
    <w:name w:val="Заголовок 9 Знак"/>
    <w:basedOn w:val="1149"/>
    <w:link w:val="1148"/>
    <w:uiPriority w:val="99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311" w:customStyle="1">
    <w:name w:val="Заголовок 1 Знак"/>
    <w:basedOn w:val="1149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1312" w:customStyle="1">
    <w:name w:val="Основной текст с отступом1"/>
    <w:basedOn w:val="1139"/>
    <w:uiPriority w:val="99"/>
    <w:pPr>
      <w:ind w:firstLine="851"/>
      <w:spacing w:before="60" w:after="0"/>
    </w:pPr>
  </w:style>
  <w:style w:type="paragraph" w:styleId="1313">
    <w:name w:val="Body Text Indent"/>
    <w:basedOn w:val="1139"/>
    <w:link w:val="1314"/>
    <w:uiPriority w:val="99"/>
    <w:pPr>
      <w:numPr>
        <w:ilvl w:val="1"/>
        <w:numId w:val="2"/>
      </w:numPr>
    </w:pPr>
  </w:style>
  <w:style w:type="character" w:styleId="1314" w:customStyle="1">
    <w:name w:val="Основной текст с отступом Знак"/>
    <w:basedOn w:val="1149"/>
    <w:link w:val="131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5">
    <w:name w:val="List Bullet"/>
    <w:basedOn w:val="1139"/>
    <w:uiPriority w:val="99"/>
    <w:pPr>
      <w:widowControl w:val="off"/>
    </w:pPr>
  </w:style>
  <w:style w:type="paragraph" w:styleId="1316">
    <w:name w:val="List Bullet 2"/>
    <w:basedOn w:val="1139"/>
    <w:uiPriority w:val="99"/>
    <w:pPr>
      <w:ind w:left="643" w:hanging="360"/>
      <w:tabs>
        <w:tab w:val="num" w:pos="643" w:leader="none"/>
      </w:tabs>
    </w:pPr>
  </w:style>
  <w:style w:type="paragraph" w:styleId="1317">
    <w:name w:val="List Bullet 3"/>
    <w:basedOn w:val="113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318">
    <w:name w:val="List Bullet 4"/>
    <w:basedOn w:val="113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319">
    <w:name w:val="List Bullet 5"/>
    <w:basedOn w:val="113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320">
    <w:name w:val="List Number"/>
    <w:basedOn w:val="1139"/>
    <w:uiPriority w:val="99"/>
    <w:pPr>
      <w:ind w:left="360" w:hanging="360"/>
      <w:tabs>
        <w:tab w:val="num" w:pos="1492" w:leader="none"/>
      </w:tabs>
    </w:pPr>
  </w:style>
  <w:style w:type="paragraph" w:styleId="1321">
    <w:name w:val="List Number 2"/>
    <w:basedOn w:val="1139"/>
    <w:uiPriority w:val="99"/>
    <w:pPr>
      <w:ind w:left="643" w:hanging="360"/>
      <w:tabs>
        <w:tab w:val="num" w:pos="643" w:leader="none"/>
      </w:tabs>
    </w:pPr>
  </w:style>
  <w:style w:type="paragraph" w:styleId="1322">
    <w:name w:val="List Number 3"/>
    <w:basedOn w:val="113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323">
    <w:name w:val="List Number 4"/>
    <w:basedOn w:val="113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324">
    <w:name w:val="List Number 5"/>
    <w:basedOn w:val="113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325">
    <w:name w:val="Title"/>
    <w:basedOn w:val="1139"/>
    <w:link w:val="1326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326" w:customStyle="1">
    <w:name w:val="Заголовок Знак"/>
    <w:basedOn w:val="1149"/>
    <w:link w:val="1325"/>
    <w:uiPriority w:val="99"/>
    <w:rPr>
      <w:rFonts w:ascii="Cambria" w:hAnsi="Cambria" w:eastAsia="Times New Roman" w:cs="Cambria"/>
      <w:b/>
      <w:bCs/>
      <w:sz w:val="32"/>
      <w:szCs w:val="32"/>
      <w:lang w:eastAsia="ru-RU"/>
    </w:rPr>
  </w:style>
  <w:style w:type="paragraph" w:styleId="1327">
    <w:name w:val="Subtitle"/>
    <w:basedOn w:val="1139"/>
    <w:link w:val="1328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328" w:customStyle="1">
    <w:name w:val="Подзаголовок Знак"/>
    <w:basedOn w:val="1149"/>
    <w:link w:val="1327"/>
    <w:uiPriority w:val="99"/>
    <w:rPr>
      <w:rFonts w:ascii="Cambria" w:hAnsi="Cambria" w:eastAsia="Times New Roman" w:cs="Cambria"/>
      <w:sz w:val="24"/>
      <w:szCs w:val="24"/>
      <w:lang w:eastAsia="ru-RU"/>
    </w:rPr>
  </w:style>
  <w:style w:type="paragraph" w:styleId="1329">
    <w:name w:val="toc 3"/>
    <w:basedOn w:val="1139"/>
    <w:next w:val="1139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330">
    <w:name w:val="toc 1"/>
    <w:basedOn w:val="1139"/>
    <w:next w:val="1139"/>
    <w:uiPriority w:val="39"/>
    <w:pPr>
      <w:jc w:val="left"/>
      <w:spacing w:before="120" w:after="120"/>
      <w:tabs>
        <w:tab w:val="left" w:pos="709" w:leader="none"/>
        <w:tab w:val="right" w:pos="10195" w:leader="dot"/>
      </w:tabs>
    </w:pPr>
    <w:rPr>
      <w:b/>
      <w:bCs/>
      <w:caps/>
      <w:sz w:val="20"/>
      <w:szCs w:val="20"/>
    </w:rPr>
  </w:style>
  <w:style w:type="paragraph" w:styleId="1331">
    <w:name w:val="toc 2"/>
    <w:basedOn w:val="1139"/>
    <w:next w:val="1139"/>
    <w:uiPriority w:val="39"/>
    <w:pPr>
      <w:jc w:val="left"/>
      <w:spacing w:after="0"/>
      <w:tabs>
        <w:tab w:val="left" w:pos="960" w:leader="none"/>
        <w:tab w:val="right" w:pos="10195" w:leader="dot"/>
      </w:tabs>
    </w:pPr>
    <w:rPr>
      <w:smallCaps/>
      <w:sz w:val="20"/>
      <w:szCs w:val="20"/>
    </w:rPr>
  </w:style>
  <w:style w:type="paragraph" w:styleId="1332">
    <w:name w:val="Date"/>
    <w:basedOn w:val="1139"/>
    <w:next w:val="1139"/>
    <w:link w:val="1333"/>
    <w:uiPriority w:val="99"/>
  </w:style>
  <w:style w:type="character" w:styleId="1333" w:customStyle="1">
    <w:name w:val="Дата Знак"/>
    <w:basedOn w:val="1149"/>
    <w:link w:val="133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4">
    <w:name w:val="Body Text"/>
    <w:basedOn w:val="1139"/>
    <w:link w:val="1335"/>
    <w:uiPriority w:val="99"/>
    <w:pPr>
      <w:spacing w:after="120"/>
    </w:pPr>
  </w:style>
  <w:style w:type="character" w:styleId="1335" w:customStyle="1">
    <w:name w:val="Основной текст Знак"/>
    <w:basedOn w:val="1149"/>
    <w:link w:val="133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6">
    <w:name w:val="Body Text Indent 2"/>
    <w:basedOn w:val="1139"/>
    <w:link w:val="1337"/>
    <w:uiPriority w:val="99"/>
    <w:pPr>
      <w:ind w:left="283"/>
      <w:spacing w:after="120" w:line="480" w:lineRule="auto"/>
    </w:pPr>
  </w:style>
  <w:style w:type="character" w:styleId="1337" w:customStyle="1">
    <w:name w:val="Основной текст с отступом 2 Знак"/>
    <w:basedOn w:val="1149"/>
    <w:link w:val="133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8">
    <w:name w:val="Body Text Indent 3"/>
    <w:basedOn w:val="1139"/>
    <w:link w:val="1339"/>
    <w:uiPriority w:val="99"/>
    <w:pPr>
      <w:ind w:left="283"/>
      <w:spacing w:after="120"/>
    </w:pPr>
    <w:rPr>
      <w:sz w:val="16"/>
      <w:szCs w:val="16"/>
    </w:rPr>
  </w:style>
  <w:style w:type="character" w:styleId="1339" w:customStyle="1">
    <w:name w:val="Основной текст с отступом 3 Знак"/>
    <w:basedOn w:val="1149"/>
    <w:link w:val="1338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40">
    <w:name w:val="Header"/>
    <w:basedOn w:val="1139"/>
    <w:link w:val="1341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341" w:customStyle="1">
    <w:name w:val="Верхний колонтитул Знак"/>
    <w:basedOn w:val="1149"/>
    <w:link w:val="134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42">
    <w:name w:val="Block Text"/>
    <w:basedOn w:val="1139"/>
    <w:uiPriority w:val="99"/>
    <w:pPr>
      <w:ind w:left="1440" w:right="1440"/>
      <w:spacing w:after="120"/>
    </w:pPr>
  </w:style>
  <w:style w:type="character" w:styleId="1343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344">
    <w:name w:val="footnote text"/>
    <w:basedOn w:val="1139"/>
    <w:link w:val="1345"/>
    <w:uiPriority w:val="99"/>
    <w:rPr>
      <w:sz w:val="20"/>
      <w:szCs w:val="20"/>
    </w:rPr>
  </w:style>
  <w:style w:type="character" w:styleId="1345" w:customStyle="1">
    <w:name w:val="Текст сноски Знак"/>
    <w:basedOn w:val="1149"/>
    <w:link w:val="134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46">
    <w:name w:val="page number"/>
    <w:uiPriority w:val="99"/>
    <w:rPr>
      <w:rFonts w:ascii="Times New Roman" w:hAnsi="Times New Roman" w:cs="Times New Roman"/>
    </w:rPr>
  </w:style>
  <w:style w:type="paragraph" w:styleId="1347">
    <w:name w:val="Footer"/>
    <w:basedOn w:val="1139"/>
    <w:link w:val="1348"/>
    <w:uiPriority w:val="99"/>
    <w:pPr>
      <w:tabs>
        <w:tab w:val="center" w:pos="4153" w:leader="none"/>
        <w:tab w:val="right" w:pos="8306" w:leader="none"/>
      </w:tabs>
    </w:pPr>
  </w:style>
  <w:style w:type="character" w:styleId="1348" w:customStyle="1">
    <w:name w:val="Нижний колонтитул Знак"/>
    <w:basedOn w:val="1149"/>
    <w:link w:val="134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49">
    <w:name w:val="Body Text 3"/>
    <w:basedOn w:val="1139"/>
    <w:link w:val="1350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350" w:customStyle="1">
    <w:name w:val="Основной текст 3 Знак"/>
    <w:basedOn w:val="1149"/>
    <w:link w:val="1349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51">
    <w:name w:val="Plain Text"/>
    <w:basedOn w:val="1139"/>
    <w:link w:val="1352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352" w:customStyle="1">
    <w:name w:val="Текст Знак"/>
    <w:basedOn w:val="1149"/>
    <w:link w:val="1351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53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354">
    <w:name w:val="Normal (Web)"/>
    <w:basedOn w:val="1139"/>
    <w:uiPriority w:val="99"/>
    <w:pPr>
      <w:jc w:val="left"/>
      <w:spacing w:before="100" w:beforeAutospacing="1" w:after="100" w:afterAutospacing="1"/>
    </w:pPr>
  </w:style>
  <w:style w:type="paragraph" w:styleId="1355">
    <w:name w:val="HTML Address"/>
    <w:basedOn w:val="1139"/>
    <w:link w:val="1356"/>
    <w:uiPriority w:val="99"/>
    <w:rPr>
      <w:i/>
      <w:iCs/>
    </w:rPr>
  </w:style>
  <w:style w:type="character" w:styleId="1356" w:customStyle="1">
    <w:name w:val="Адрес HTML Знак"/>
    <w:basedOn w:val="1149"/>
    <w:link w:val="1355"/>
    <w:uiPriority w:val="99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57">
    <w:name w:val="envelope address"/>
    <w:basedOn w:val="1139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358">
    <w:name w:val="HTML Acronym"/>
    <w:basedOn w:val="1149"/>
    <w:uiPriority w:val="99"/>
  </w:style>
  <w:style w:type="character" w:styleId="1359">
    <w:name w:val="Emphasis"/>
    <w:uiPriority w:val="99"/>
    <w:qFormat/>
    <w:rPr>
      <w:i/>
      <w:iCs/>
    </w:rPr>
  </w:style>
  <w:style w:type="character" w:styleId="1360">
    <w:name w:val="Hyperlink"/>
    <w:uiPriority w:val="99"/>
    <w:rPr>
      <w:color w:val="0000ff"/>
      <w:u w:val="single"/>
    </w:rPr>
  </w:style>
  <w:style w:type="paragraph" w:styleId="1361">
    <w:name w:val="Note Heading"/>
    <w:basedOn w:val="1139"/>
    <w:next w:val="1139"/>
    <w:link w:val="1362"/>
    <w:uiPriority w:val="99"/>
  </w:style>
  <w:style w:type="character" w:styleId="1362" w:customStyle="1">
    <w:name w:val="Заголовок записки Знак"/>
    <w:basedOn w:val="1149"/>
    <w:link w:val="136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63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364">
    <w:name w:val="HTML Code"/>
    <w:uiPriority w:val="99"/>
    <w:rPr>
      <w:rFonts w:ascii="Courier New" w:hAnsi="Courier New" w:cs="Courier New"/>
      <w:sz w:val="20"/>
      <w:szCs w:val="20"/>
    </w:rPr>
  </w:style>
  <w:style w:type="paragraph" w:styleId="1365">
    <w:name w:val="Body Text First Indent"/>
    <w:basedOn w:val="1334"/>
    <w:link w:val="1366"/>
    <w:uiPriority w:val="99"/>
    <w:pPr>
      <w:ind w:firstLine="210"/>
    </w:pPr>
  </w:style>
  <w:style w:type="character" w:styleId="1366" w:customStyle="1">
    <w:name w:val="Красная строка Знак"/>
    <w:basedOn w:val="1335"/>
    <w:link w:val="136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7">
    <w:name w:val="Body Text First Indent 2"/>
    <w:basedOn w:val="1312"/>
    <w:link w:val="1368"/>
    <w:uiPriority w:val="99"/>
    <w:pPr>
      <w:ind w:left="283" w:firstLine="210"/>
      <w:spacing w:before="0" w:after="120"/>
    </w:pPr>
  </w:style>
  <w:style w:type="character" w:styleId="1368" w:customStyle="1">
    <w:name w:val="Красная строка 2 Знак"/>
    <w:basedOn w:val="1314"/>
    <w:link w:val="136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69">
    <w:name w:val="line number"/>
    <w:basedOn w:val="1149"/>
    <w:uiPriority w:val="99"/>
  </w:style>
  <w:style w:type="character" w:styleId="1370">
    <w:name w:val="HTML Sample"/>
    <w:uiPriority w:val="99"/>
    <w:rPr>
      <w:rFonts w:ascii="Courier New" w:hAnsi="Courier New" w:cs="Courier New"/>
    </w:rPr>
  </w:style>
  <w:style w:type="paragraph" w:styleId="1371">
    <w:name w:val="envelope return"/>
    <w:basedOn w:val="1139"/>
    <w:uiPriority w:val="99"/>
    <w:rPr>
      <w:rFonts w:ascii="Arial" w:hAnsi="Arial" w:cs="Arial"/>
      <w:sz w:val="20"/>
      <w:szCs w:val="20"/>
    </w:rPr>
  </w:style>
  <w:style w:type="paragraph" w:styleId="1372">
    <w:name w:val="Normal Indent"/>
    <w:basedOn w:val="1139"/>
    <w:uiPriority w:val="99"/>
    <w:pPr>
      <w:ind w:left="708"/>
    </w:pPr>
  </w:style>
  <w:style w:type="character" w:styleId="1373">
    <w:name w:val="HTML Definition"/>
    <w:uiPriority w:val="99"/>
    <w:rPr>
      <w:i/>
      <w:iCs/>
    </w:rPr>
  </w:style>
  <w:style w:type="character" w:styleId="1374">
    <w:name w:val="HTML Variable"/>
    <w:uiPriority w:val="99"/>
    <w:rPr>
      <w:i/>
      <w:iCs/>
    </w:rPr>
  </w:style>
  <w:style w:type="character" w:styleId="1375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376">
    <w:name w:val="Signature"/>
    <w:basedOn w:val="1139"/>
    <w:link w:val="1377"/>
    <w:uiPriority w:val="99"/>
    <w:pPr>
      <w:ind w:left="4252"/>
    </w:pPr>
  </w:style>
  <w:style w:type="character" w:styleId="1377" w:customStyle="1">
    <w:name w:val="Подпись Знак"/>
    <w:basedOn w:val="1149"/>
    <w:link w:val="137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8">
    <w:name w:val="Salutation"/>
    <w:basedOn w:val="1139"/>
    <w:next w:val="1139"/>
    <w:link w:val="1379"/>
    <w:uiPriority w:val="99"/>
  </w:style>
  <w:style w:type="character" w:styleId="1379" w:customStyle="1">
    <w:name w:val="Приветствие Знак"/>
    <w:basedOn w:val="1149"/>
    <w:link w:val="137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0">
    <w:name w:val="List Continue"/>
    <w:basedOn w:val="1139"/>
    <w:uiPriority w:val="99"/>
    <w:pPr>
      <w:ind w:left="283"/>
      <w:spacing w:after="120"/>
    </w:pPr>
  </w:style>
  <w:style w:type="paragraph" w:styleId="1381">
    <w:name w:val="List Continue 2"/>
    <w:basedOn w:val="1139"/>
    <w:uiPriority w:val="99"/>
    <w:pPr>
      <w:ind w:left="566"/>
      <w:spacing w:after="120"/>
    </w:pPr>
  </w:style>
  <w:style w:type="paragraph" w:styleId="1382">
    <w:name w:val="List Continue 3"/>
    <w:basedOn w:val="1139"/>
    <w:uiPriority w:val="99"/>
    <w:pPr>
      <w:ind w:left="849"/>
      <w:spacing w:after="120"/>
    </w:pPr>
  </w:style>
  <w:style w:type="paragraph" w:styleId="1383">
    <w:name w:val="List Continue 4"/>
    <w:basedOn w:val="1139"/>
    <w:uiPriority w:val="99"/>
    <w:pPr>
      <w:ind w:left="1132"/>
      <w:spacing w:after="120"/>
    </w:pPr>
  </w:style>
  <w:style w:type="paragraph" w:styleId="1384">
    <w:name w:val="List Continue 5"/>
    <w:basedOn w:val="1139"/>
    <w:uiPriority w:val="99"/>
    <w:pPr>
      <w:ind w:left="1415"/>
      <w:spacing w:after="120"/>
    </w:pPr>
  </w:style>
  <w:style w:type="character" w:styleId="1385">
    <w:name w:val="FollowedHyperlink"/>
    <w:uiPriority w:val="99"/>
    <w:rPr>
      <w:color w:val="800080"/>
      <w:u w:val="single"/>
    </w:rPr>
  </w:style>
  <w:style w:type="paragraph" w:styleId="1386">
    <w:name w:val="Closing"/>
    <w:basedOn w:val="1139"/>
    <w:link w:val="1387"/>
    <w:uiPriority w:val="99"/>
    <w:pPr>
      <w:ind w:left="4252"/>
    </w:pPr>
  </w:style>
  <w:style w:type="character" w:styleId="1387" w:customStyle="1">
    <w:name w:val="Прощание Знак"/>
    <w:basedOn w:val="1149"/>
    <w:link w:val="138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8">
    <w:name w:val="List"/>
    <w:basedOn w:val="1139"/>
    <w:uiPriority w:val="99"/>
    <w:pPr>
      <w:ind w:left="283" w:hanging="283"/>
    </w:pPr>
  </w:style>
  <w:style w:type="paragraph" w:styleId="1389">
    <w:name w:val="List 2"/>
    <w:basedOn w:val="1139"/>
    <w:uiPriority w:val="99"/>
    <w:pPr>
      <w:ind w:left="566" w:hanging="283"/>
    </w:pPr>
  </w:style>
  <w:style w:type="paragraph" w:styleId="1390">
    <w:name w:val="List 3"/>
    <w:basedOn w:val="1139"/>
    <w:uiPriority w:val="99"/>
    <w:pPr>
      <w:ind w:left="849" w:hanging="283"/>
    </w:pPr>
  </w:style>
  <w:style w:type="paragraph" w:styleId="1391">
    <w:name w:val="List 4"/>
    <w:basedOn w:val="1139"/>
    <w:uiPriority w:val="99"/>
    <w:pPr>
      <w:ind w:left="1132" w:hanging="283"/>
    </w:pPr>
  </w:style>
  <w:style w:type="paragraph" w:styleId="1392">
    <w:name w:val="List 5"/>
    <w:basedOn w:val="1139"/>
    <w:uiPriority w:val="99"/>
    <w:pPr>
      <w:ind w:left="1415" w:hanging="283"/>
    </w:pPr>
  </w:style>
  <w:style w:type="paragraph" w:styleId="1393">
    <w:name w:val="HTML Preformatted"/>
    <w:basedOn w:val="1139"/>
    <w:link w:val="1394"/>
    <w:uiPriority w:val="99"/>
    <w:rPr>
      <w:rFonts w:ascii="Courier New" w:hAnsi="Courier New" w:cs="Courier New"/>
      <w:sz w:val="20"/>
      <w:szCs w:val="20"/>
    </w:rPr>
  </w:style>
  <w:style w:type="character" w:styleId="1394" w:customStyle="1">
    <w:name w:val="Стандартный HTML Знак"/>
    <w:basedOn w:val="1149"/>
    <w:link w:val="1393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395">
    <w:name w:val="Strong"/>
    <w:uiPriority w:val="99"/>
    <w:qFormat/>
    <w:rPr>
      <w:b/>
      <w:bCs/>
    </w:rPr>
  </w:style>
  <w:style w:type="character" w:styleId="1396">
    <w:name w:val="HTML Cite"/>
    <w:uiPriority w:val="99"/>
    <w:rPr>
      <w:i/>
      <w:iCs/>
    </w:rPr>
  </w:style>
  <w:style w:type="paragraph" w:styleId="1397">
    <w:name w:val="Message Header"/>
    <w:basedOn w:val="1139"/>
    <w:link w:val="1398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398" w:customStyle="1">
    <w:name w:val="Шапка Знак"/>
    <w:basedOn w:val="1149"/>
    <w:link w:val="1397"/>
    <w:uiPriority w:val="99"/>
    <w:rPr>
      <w:rFonts w:ascii="Cambria" w:hAnsi="Cambria" w:eastAsia="Times New Roman" w:cs="Cambria"/>
      <w:sz w:val="24"/>
      <w:szCs w:val="24"/>
      <w:shd w:val="pct20" w:color="auto" w:fill="auto"/>
      <w:lang w:eastAsia="ru-RU"/>
    </w:rPr>
  </w:style>
  <w:style w:type="paragraph" w:styleId="1399">
    <w:name w:val="E-mail Signature"/>
    <w:basedOn w:val="1139"/>
    <w:link w:val="1400"/>
    <w:uiPriority w:val="99"/>
  </w:style>
  <w:style w:type="character" w:styleId="1400" w:customStyle="1">
    <w:name w:val="Электронная подпись Знак"/>
    <w:basedOn w:val="1149"/>
    <w:link w:val="139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1">
    <w:name w:val="toc 4"/>
    <w:basedOn w:val="1139"/>
    <w:next w:val="1139"/>
    <w:uiPriority w:val="39"/>
    <w:pPr>
      <w:ind w:left="720"/>
      <w:jc w:val="left"/>
      <w:spacing w:after="0"/>
    </w:pPr>
    <w:rPr>
      <w:sz w:val="18"/>
      <w:szCs w:val="18"/>
    </w:rPr>
  </w:style>
  <w:style w:type="paragraph" w:styleId="1402">
    <w:name w:val="toc 5"/>
    <w:basedOn w:val="1139"/>
    <w:next w:val="1139"/>
    <w:uiPriority w:val="39"/>
    <w:pPr>
      <w:ind w:left="960"/>
      <w:jc w:val="left"/>
      <w:spacing w:after="0"/>
    </w:pPr>
    <w:rPr>
      <w:sz w:val="18"/>
      <w:szCs w:val="18"/>
    </w:rPr>
  </w:style>
  <w:style w:type="paragraph" w:styleId="1403">
    <w:name w:val="toc 6"/>
    <w:basedOn w:val="1139"/>
    <w:next w:val="1139"/>
    <w:uiPriority w:val="39"/>
    <w:pPr>
      <w:ind w:left="1200"/>
      <w:jc w:val="left"/>
      <w:spacing w:after="0"/>
    </w:pPr>
    <w:rPr>
      <w:sz w:val="18"/>
      <w:szCs w:val="18"/>
    </w:rPr>
  </w:style>
  <w:style w:type="paragraph" w:styleId="1404">
    <w:name w:val="toc 7"/>
    <w:basedOn w:val="1139"/>
    <w:next w:val="1139"/>
    <w:uiPriority w:val="39"/>
    <w:pPr>
      <w:ind w:left="1440"/>
      <w:jc w:val="left"/>
      <w:spacing w:after="0"/>
    </w:pPr>
    <w:rPr>
      <w:sz w:val="18"/>
      <w:szCs w:val="18"/>
    </w:rPr>
  </w:style>
  <w:style w:type="paragraph" w:styleId="1405">
    <w:name w:val="toc 8"/>
    <w:basedOn w:val="1139"/>
    <w:next w:val="1139"/>
    <w:uiPriority w:val="39"/>
    <w:pPr>
      <w:ind w:left="1680"/>
      <w:jc w:val="left"/>
      <w:spacing w:after="0"/>
    </w:pPr>
    <w:rPr>
      <w:sz w:val="18"/>
      <w:szCs w:val="18"/>
    </w:rPr>
  </w:style>
  <w:style w:type="paragraph" w:styleId="1406">
    <w:name w:val="toc 9"/>
    <w:basedOn w:val="1139"/>
    <w:next w:val="1139"/>
    <w:uiPriority w:val="39"/>
    <w:pPr>
      <w:ind w:left="1920"/>
      <w:jc w:val="left"/>
      <w:spacing w:after="0"/>
    </w:pPr>
    <w:rPr>
      <w:sz w:val="18"/>
      <w:szCs w:val="18"/>
    </w:rPr>
  </w:style>
  <w:style w:type="paragraph" w:styleId="1407" w:customStyle="1">
    <w:name w:val="Стиль1"/>
    <w:basedOn w:val="1139"/>
    <w:pPr>
      <w:numPr>
        <w:ilvl w:val="0"/>
        <w:numId w:val="3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408" w:customStyle="1">
    <w:name w:val="содержание2-1"/>
    <w:basedOn w:val="1142"/>
    <w:next w:val="1139"/>
    <w:uiPriority w:val="99"/>
  </w:style>
  <w:style w:type="paragraph" w:styleId="1409" w:customStyle="1">
    <w:name w:val="Заголовок 2.1"/>
    <w:basedOn w:val="1140"/>
    <w:uiPriority w:val="99"/>
    <w:pPr>
      <w:keepLines/>
      <w:widowControl w:val="off"/>
      <w:suppressLineNumbers/>
    </w:pPr>
    <w:rPr>
      <w:caps/>
    </w:rPr>
  </w:style>
  <w:style w:type="paragraph" w:styleId="1410" w:customStyle="1">
    <w:name w:val="Стиль2"/>
    <w:basedOn w:val="1321"/>
    <w:uiPriority w:val="99"/>
    <w:pPr>
      <w:numPr>
        <w:ilvl w:val="1"/>
        <w:numId w:val="3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411" w:customStyle="1">
    <w:name w:val="Стиль3"/>
    <w:basedOn w:val="1336"/>
    <w:pPr>
      <w:numPr>
        <w:ilvl w:val="2"/>
        <w:numId w:val="3"/>
      </w:numPr>
      <w:spacing w:after="0" w:line="240" w:lineRule="auto"/>
      <w:widowControl w:val="off"/>
    </w:pPr>
  </w:style>
  <w:style w:type="paragraph" w:styleId="1412" w:customStyle="1">
    <w:name w:val="содержание2-11"/>
    <w:basedOn w:val="1139"/>
    <w:uiPriority w:val="99"/>
  </w:style>
  <w:style w:type="character" w:styleId="1413" w:customStyle="1">
    <w:name w:val="Знак Знак1"/>
    <w:uiPriority w:val="99"/>
    <w:rPr>
      <w:sz w:val="24"/>
      <w:szCs w:val="24"/>
      <w:lang w:val="ru-RU" w:eastAsia="ru-RU"/>
    </w:rPr>
  </w:style>
  <w:style w:type="character" w:styleId="1414" w:customStyle="1">
    <w:name w:val="Стиль3 Знак"/>
    <w:uiPriority w:val="99"/>
    <w:rPr>
      <w:sz w:val="24"/>
      <w:szCs w:val="24"/>
      <w:lang w:val="ru-RU" w:eastAsia="ru-RU"/>
    </w:rPr>
  </w:style>
  <w:style w:type="paragraph" w:styleId="1415" w:customStyle="1">
    <w:name w:val="Стиль4"/>
    <w:basedOn w:val="1141"/>
    <w:next w:val="1139"/>
    <w:uiPriority w:val="99"/>
    <w:pPr>
      <w:ind w:firstLine="567"/>
      <w:keepLines/>
      <w:widowControl w:val="off"/>
      <w:suppressLineNumbers/>
    </w:pPr>
  </w:style>
  <w:style w:type="paragraph" w:styleId="1416" w:customStyle="1">
    <w:name w:val="Таблица заголовок"/>
    <w:basedOn w:val="1139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417" w:customStyle="1">
    <w:name w:val="текст таблицы"/>
    <w:basedOn w:val="1139"/>
    <w:uiPriority w:val="99"/>
    <w:pPr>
      <w:ind w:right="-102"/>
      <w:jc w:val="left"/>
      <w:spacing w:before="120" w:after="0"/>
    </w:pPr>
  </w:style>
  <w:style w:type="paragraph" w:styleId="1418" w:customStyle="1">
    <w:name w:val="Пункт Знак"/>
    <w:basedOn w:val="1139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419" w:customStyle="1">
    <w:name w:val="a"/>
    <w:basedOn w:val="1139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420" w:customStyle="1">
    <w:name w:val="Словарная статья"/>
    <w:basedOn w:val="1139"/>
    <w:next w:val="1139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421" w:customStyle="1">
    <w:name w:val="Комментарий пользователя"/>
    <w:basedOn w:val="1139"/>
    <w:next w:val="1139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422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423" w:customStyle="1">
    <w:name w:val="Текст выноски Знак"/>
    <w:basedOn w:val="1149"/>
    <w:link w:val="1424"/>
    <w:uiPriority w:val="99"/>
    <w:semiHidden/>
    <w:rPr>
      <w:rFonts w:ascii="Times New Roman" w:hAnsi="Times New Roman" w:eastAsia="Times New Roman" w:cs="Times New Roman"/>
      <w:sz w:val="20"/>
      <w:szCs w:val="2"/>
      <w:lang w:eastAsia="ru-RU"/>
    </w:rPr>
  </w:style>
  <w:style w:type="paragraph" w:styleId="1424">
    <w:name w:val="Balloon Text"/>
    <w:basedOn w:val="1139"/>
    <w:link w:val="1423"/>
    <w:uiPriority w:val="99"/>
    <w:semiHidden/>
    <w:rPr>
      <w:sz w:val="20"/>
      <w:szCs w:val="2"/>
    </w:rPr>
  </w:style>
  <w:style w:type="character" w:styleId="1425" w:customStyle="1">
    <w:name w:val="label_body_text_1"/>
    <w:uiPriority w:val="99"/>
  </w:style>
  <w:style w:type="paragraph" w:styleId="1426" w:customStyle="1">
    <w:name w:val="Заголовок 1.Document Header1"/>
    <w:basedOn w:val="1139"/>
    <w:next w:val="1139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427" w:customStyle="1">
    <w:name w:val="ConsPlusNormal"/>
    <w:link w:val="1494"/>
    <w:qFormat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428" w:customStyle="1">
    <w:name w:val="Знак Знак11"/>
    <w:uiPriority w:val="99"/>
    <w:rPr>
      <w:sz w:val="24"/>
      <w:szCs w:val="24"/>
      <w:lang w:val="ru-RU" w:eastAsia="ru-RU"/>
    </w:rPr>
  </w:style>
  <w:style w:type="character" w:styleId="1429" w:customStyle="1">
    <w:name w:val="Текст примечания Знак"/>
    <w:basedOn w:val="1149"/>
    <w:link w:val="143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30">
    <w:name w:val="annotation text"/>
    <w:basedOn w:val="1139"/>
    <w:link w:val="1429"/>
    <w:uiPriority w:val="99"/>
    <w:semiHidden/>
    <w:rPr>
      <w:sz w:val="20"/>
      <w:szCs w:val="20"/>
    </w:rPr>
  </w:style>
  <w:style w:type="character" w:styleId="1431" w:customStyle="1">
    <w:name w:val="Тема примечания Знак"/>
    <w:basedOn w:val="1429"/>
    <w:link w:val="143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432">
    <w:name w:val="annotation subject"/>
    <w:basedOn w:val="1430"/>
    <w:next w:val="1430"/>
    <w:link w:val="1431"/>
    <w:uiPriority w:val="99"/>
    <w:semiHidden/>
    <w:rPr>
      <w:b/>
      <w:bCs/>
    </w:rPr>
  </w:style>
  <w:style w:type="paragraph" w:styleId="1433" w:customStyle="1">
    <w:name w:val="20"/>
    <w:basedOn w:val="1139"/>
    <w:uiPriority w:val="99"/>
    <w:pPr>
      <w:ind w:left="104" w:right="104"/>
      <w:jc w:val="left"/>
      <w:spacing w:before="104" w:after="104"/>
    </w:pPr>
  </w:style>
  <w:style w:type="paragraph" w:styleId="1434" w:customStyle="1">
    <w:name w:val="Пункт"/>
    <w:basedOn w:val="1139"/>
    <w:link w:val="1435"/>
    <w:pPr>
      <w:ind w:left="1404" w:hanging="504"/>
      <w:spacing w:after="0"/>
      <w:tabs>
        <w:tab w:val="num" w:pos="1980" w:leader="none"/>
      </w:tabs>
    </w:pPr>
  </w:style>
  <w:style w:type="character" w:styleId="1435" w:customStyle="1">
    <w:name w:val="Пункт Знак1"/>
    <w:link w:val="143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6" w:customStyle="1">
    <w:name w:val="Подпункт"/>
    <w:basedOn w:val="1434"/>
    <w:link w:val="1437"/>
    <w:pPr>
      <w:ind w:left="1728" w:hanging="648"/>
      <w:tabs>
        <w:tab w:val="clear" w:pos="1980" w:leader="none"/>
        <w:tab w:val="num" w:pos="2520" w:leader="none"/>
      </w:tabs>
    </w:pPr>
  </w:style>
  <w:style w:type="character" w:styleId="1437" w:customStyle="1">
    <w:name w:val="Подпункт Знак1"/>
    <w:link w:val="1436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38" w:customStyle="1">
    <w:name w:val="Схема документа Знак"/>
    <w:basedOn w:val="1149"/>
    <w:link w:val="1439"/>
    <w:uiPriority w:val="99"/>
    <w:semiHidden/>
    <w:rPr>
      <w:rFonts w:ascii="Times New Roman" w:hAnsi="Times New Roman" w:eastAsia="Times New Roman" w:cs="Times New Roman"/>
      <w:sz w:val="2"/>
      <w:szCs w:val="2"/>
      <w:shd w:val="clear" w:color="auto" w:fill="000080"/>
      <w:lang w:eastAsia="ru-RU"/>
    </w:rPr>
  </w:style>
  <w:style w:type="paragraph" w:styleId="1439">
    <w:name w:val="Document Map"/>
    <w:basedOn w:val="1139"/>
    <w:link w:val="1438"/>
    <w:uiPriority w:val="99"/>
    <w:semiHidden/>
    <w:pPr>
      <w:shd w:val="clear" w:color="auto" w:fill="000080"/>
    </w:pPr>
    <w:rPr>
      <w:sz w:val="2"/>
      <w:szCs w:val="2"/>
    </w:rPr>
  </w:style>
  <w:style w:type="paragraph" w:styleId="1440" w:customStyle="1">
    <w:name w:val="Таблица шапка"/>
    <w:basedOn w:val="1139"/>
    <w:link w:val="1441"/>
    <w:pPr>
      <w:ind w:left="57" w:right="57"/>
      <w:jc w:val="left"/>
      <w:keepNext/>
      <w:spacing w:before="40" w:after="40"/>
    </w:pPr>
    <w:rPr>
      <w:sz w:val="18"/>
      <w:szCs w:val="18"/>
    </w:rPr>
  </w:style>
  <w:style w:type="character" w:styleId="1441" w:customStyle="1">
    <w:name w:val="Таблица шапка Знак"/>
    <w:link w:val="1440"/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442" w:customStyle="1">
    <w:name w:val="Таблица текст"/>
    <w:basedOn w:val="1139"/>
    <w:link w:val="1443"/>
    <w:pPr>
      <w:ind w:left="57" w:right="57"/>
      <w:jc w:val="left"/>
      <w:spacing w:before="40" w:after="40"/>
    </w:pPr>
    <w:rPr>
      <w:sz w:val="22"/>
      <w:szCs w:val="22"/>
    </w:rPr>
  </w:style>
  <w:style w:type="character" w:styleId="1443" w:customStyle="1">
    <w:name w:val="Таблица текст Знак"/>
    <w:link w:val="1442"/>
    <w:rPr>
      <w:rFonts w:ascii="Times New Roman" w:hAnsi="Times New Roman" w:eastAsia="Times New Roman" w:cs="Times New Roman"/>
      <w:lang w:eastAsia="ru-RU"/>
    </w:rPr>
  </w:style>
  <w:style w:type="paragraph" w:styleId="1444" w:customStyle="1">
    <w:name w:val="пункт"/>
    <w:basedOn w:val="1139"/>
    <w:uiPriority w:val="99"/>
    <w:pPr>
      <w:numPr>
        <w:ilvl w:val="2"/>
        <w:numId w:val="5"/>
      </w:numPr>
      <w:jc w:val="left"/>
      <w:spacing w:before="60"/>
    </w:pPr>
  </w:style>
  <w:style w:type="character" w:styleId="1445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446" w:customStyle="1">
    <w:name w:val="Обычный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7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448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9">
    <w:name w:val="endnote text"/>
    <w:basedOn w:val="1139"/>
    <w:link w:val="1450"/>
    <w:uiPriority w:val="99"/>
    <w:rPr>
      <w:sz w:val="20"/>
      <w:szCs w:val="20"/>
    </w:rPr>
  </w:style>
  <w:style w:type="character" w:styleId="1450" w:customStyle="1">
    <w:name w:val="Текст концевой сноски Знак"/>
    <w:basedOn w:val="1149"/>
    <w:link w:val="144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51" w:customStyle="1">
    <w:name w:val="Основной текст с отступом11"/>
    <w:basedOn w:val="1139"/>
    <w:uiPriority w:val="99"/>
    <w:pPr>
      <w:ind w:firstLine="851"/>
      <w:spacing w:before="60" w:after="0"/>
    </w:pPr>
  </w:style>
  <w:style w:type="character" w:styleId="1452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453">
    <w:name w:val="List Paragraph"/>
    <w:basedOn w:val="1139"/>
    <w:link w:val="1454"/>
    <w:uiPriority w:val="34"/>
    <w:qFormat/>
    <w:pPr>
      <w:ind w:left="720"/>
      <w:jc w:val="left"/>
      <w:spacing w:after="0"/>
    </w:pPr>
  </w:style>
  <w:style w:type="character" w:styleId="1454" w:customStyle="1">
    <w:name w:val="Абзац списка Знак"/>
    <w:basedOn w:val="1149"/>
    <w:link w:val="1453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55" w:customStyle="1">
    <w:name w:val="f"/>
    <w:basedOn w:val="1149"/>
  </w:style>
  <w:style w:type="character" w:styleId="1456" w:customStyle="1">
    <w:name w:val="r"/>
    <w:basedOn w:val="1149"/>
  </w:style>
  <w:style w:type="paragraph" w:styleId="1457">
    <w:name w:val="Body Text 2"/>
    <w:basedOn w:val="1139"/>
    <w:link w:val="1458"/>
    <w:pPr>
      <w:spacing w:after="120" w:line="480" w:lineRule="auto"/>
    </w:pPr>
  </w:style>
  <w:style w:type="character" w:styleId="1458" w:customStyle="1">
    <w:name w:val="Основной текст 2 Знак"/>
    <w:basedOn w:val="1149"/>
    <w:link w:val="1457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59">
    <w:name w:val="Table Grid"/>
    <w:basedOn w:val="1150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60" w:customStyle="1">
    <w:name w:val="Iniiaiie oaeno"/>
    <w:basedOn w:val="1139"/>
    <w:uiPriority w:val="99"/>
    <w:pPr>
      <w:jc w:val="center"/>
      <w:spacing w:after="0"/>
    </w:pPr>
    <w:rPr>
      <w:rFonts w:ascii="Arial" w:hAnsi="Arial" w:cs="Arial"/>
    </w:rPr>
  </w:style>
  <w:style w:type="paragraph" w:styleId="1461" w:customStyle="1">
    <w:name w:val="Абзац списка1"/>
    <w:basedOn w:val="1139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462" w:customStyle="1">
    <w:name w:val="Таблицы (моноширинный)"/>
    <w:basedOn w:val="1139"/>
    <w:next w:val="1139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paragraph" w:styleId="1463" w:customStyle="1">
    <w:name w:val="Подподпункт"/>
    <w:basedOn w:val="1436"/>
    <w:link w:val="1464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character" w:styleId="1464" w:customStyle="1">
    <w:name w:val="Подподпункт Знак"/>
    <w:basedOn w:val="1149"/>
    <w:link w:val="1463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465" w:customStyle="1">
    <w:name w:val="Пункт-3"/>
    <w:basedOn w:val="1139"/>
    <w:link w:val="1466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466" w:customStyle="1">
    <w:name w:val="Пункт-3 Знак"/>
    <w:link w:val="146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467" w:customStyle="1">
    <w:name w:val="Основной текст (3)_"/>
    <w:basedOn w:val="1149"/>
    <w:link w:val="1468"/>
    <w:rPr>
      <w:b/>
      <w:bCs/>
      <w:shd w:val="clear" w:color="auto" w:fill="ffffff"/>
    </w:rPr>
  </w:style>
  <w:style w:type="paragraph" w:styleId="1468" w:customStyle="1">
    <w:name w:val="Основной текст (3)"/>
    <w:basedOn w:val="1139"/>
    <w:link w:val="1467"/>
    <w:pPr>
      <w:ind w:firstLine="709"/>
      <w:jc w:val="center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469" w:customStyle="1">
    <w:name w:val="Default"/>
    <w:link w:val="1498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470" w:customStyle="1">
    <w:name w:val="Пункт-4"/>
    <w:basedOn w:val="1139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471" w:customStyle="1">
    <w:name w:val="комментарий"/>
    <w:rPr>
      <w:i/>
      <w:u w:val="none"/>
      <w:shd w:val="clear" w:color="auto" w:fill="ffff99"/>
    </w:rPr>
  </w:style>
  <w:style w:type="paragraph" w:styleId="1472" w:customStyle="1">
    <w:name w:val="Ариал"/>
    <w:basedOn w:val="1139"/>
    <w:link w:val="1473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473" w:customStyle="1">
    <w:name w:val="Ариал Знак1"/>
    <w:link w:val="1472"/>
    <w:rPr>
      <w:rFonts w:ascii="Arial" w:hAnsi="Arial" w:eastAsia="Times New Roman" w:cs="Times New Roman"/>
      <w:sz w:val="24"/>
      <w:szCs w:val="20"/>
    </w:rPr>
  </w:style>
  <w:style w:type="paragraph" w:styleId="1474" w:customStyle="1">
    <w:name w:val="Цитата1"/>
    <w:basedOn w:val="1139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475" w:customStyle="1">
    <w:name w:val="Заголовок_1"/>
    <w:basedOn w:val="1139"/>
    <w:uiPriority w:val="99"/>
    <w:pPr>
      <w:numPr>
        <w:ilvl w:val="0"/>
        <w:numId w:val="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476" w:customStyle="1">
    <w:name w:val="Пункт_3"/>
    <w:basedOn w:val="1139"/>
    <w:uiPriority w:val="99"/>
    <w:pPr>
      <w:numPr>
        <w:ilvl w:val="2"/>
        <w:numId w:val="6"/>
      </w:numPr>
      <w:spacing w:after="0"/>
    </w:pPr>
    <w:rPr>
      <w:sz w:val="28"/>
      <w:szCs w:val="28"/>
    </w:rPr>
  </w:style>
  <w:style w:type="paragraph" w:styleId="1477" w:customStyle="1">
    <w:name w:val="Пункт_2"/>
    <w:basedOn w:val="1139"/>
    <w:uiPriority w:val="99"/>
    <w:pPr>
      <w:numPr>
        <w:ilvl w:val="1"/>
        <w:numId w:val="6"/>
      </w:numPr>
      <w:spacing w:after="0"/>
    </w:pPr>
    <w:rPr>
      <w:sz w:val="28"/>
      <w:szCs w:val="20"/>
    </w:rPr>
  </w:style>
  <w:style w:type="paragraph" w:styleId="1478" w:customStyle="1">
    <w:name w:val="Пункт_5"/>
    <w:basedOn w:val="1476"/>
    <w:uiPriority w:val="99"/>
    <w:pPr>
      <w:numPr>
        <w:ilvl w:val="4"/>
      </w:numPr>
    </w:pPr>
  </w:style>
  <w:style w:type="paragraph" w:styleId="1479">
    <w:name w:val="Caption"/>
    <w:basedOn w:val="1139"/>
    <w:next w:val="1139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1480" w:customStyle="1">
    <w:name w:val="Times 12"/>
    <w:basedOn w:val="1139"/>
    <w:pPr>
      <w:ind w:firstLine="567"/>
      <w:spacing w:after="0"/>
    </w:pPr>
    <w:rPr>
      <w:bCs/>
      <w:szCs w:val="22"/>
    </w:rPr>
  </w:style>
  <w:style w:type="paragraph" w:styleId="1481" w:customStyle="1">
    <w:name w:val="FTN_txt"/>
    <w:basedOn w:val="1139"/>
    <w:pPr>
      <w:numPr>
        <w:ilvl w:val="1"/>
        <w:numId w:val="12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paragraph" w:styleId="1482" w:customStyle="1">
    <w:name w:val="[Ростех] Простой текст (Без уровня)"/>
    <w:link w:val="1483"/>
    <w:uiPriority w:val="99"/>
    <w:qFormat/>
    <w:pPr>
      <w:jc w:val="both"/>
      <w:spacing w:before="120" w:after="0" w:line="240" w:lineRule="auto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83" w:customStyle="1">
    <w:name w:val="[Ростех] Простой текст (Без уровня) Знак"/>
    <w:basedOn w:val="1149"/>
    <w:link w:val="1482"/>
    <w:uiPriority w:val="99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84" w:customStyle="1">
    <w:name w:val="[Ростех] Текст Подпункта (Уровень 5)"/>
    <w:link w:val="1485"/>
    <w:uiPriority w:val="99"/>
    <w:qFormat/>
    <w:pPr>
      <w:jc w:val="both"/>
      <w:spacing w:before="120" w:after="0" w:line="240" w:lineRule="auto"/>
      <w:outlineLvl w:val="4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85" w:customStyle="1">
    <w:name w:val="[Ростех] Текст Подпункта (Уровень 5) Знак"/>
    <w:basedOn w:val="1149"/>
    <w:link w:val="1484"/>
    <w:uiPriority w:val="99"/>
    <w:qFormat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86" w:customStyle="1">
    <w:name w:val="[Ростех] Текст Подпункта (следующий абзац) (Уровень 4)"/>
    <w:link w:val="1487"/>
    <w:qFormat/>
    <w:pPr>
      <w:ind w:left="1134"/>
      <w:jc w:val="both"/>
      <w:spacing w:before="120" w:after="0" w:line="240" w:lineRule="auto"/>
      <w:outlineLvl w:val="3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87" w:customStyle="1">
    <w:name w:val="[Ростех] Текст Подпункта (следующий абзац) (Уровень 4) Знак"/>
    <w:basedOn w:val="1149"/>
    <w:link w:val="1486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88" w:customStyle="1">
    <w:name w:val="Пункт б/н"/>
    <w:basedOn w:val="1139"/>
    <w:pPr>
      <w:ind w:firstLine="567"/>
      <w:spacing w:after="0" w:line="360" w:lineRule="auto"/>
      <w:tabs>
        <w:tab w:val="left" w:pos="1134" w:leader="none"/>
      </w:tabs>
    </w:pPr>
    <w:rPr>
      <w:sz w:val="28"/>
      <w:szCs w:val="20"/>
    </w:rPr>
  </w:style>
  <w:style w:type="paragraph" w:styleId="1489" w:customStyle="1">
    <w:name w:val="Основной текст 22"/>
    <w:basedOn w:val="1139"/>
    <w:pPr>
      <w:ind w:firstLine="567"/>
      <w:jc w:val="left"/>
      <w:spacing w:after="0"/>
    </w:pPr>
    <w:rPr>
      <w:szCs w:val="20"/>
    </w:rPr>
  </w:style>
  <w:style w:type="character" w:styleId="1490">
    <w:name w:val="Placeholder Text"/>
    <w:basedOn w:val="1149"/>
    <w:uiPriority w:val="99"/>
    <w:semiHidden/>
    <w:rPr>
      <w:color w:val="808080"/>
    </w:rPr>
  </w:style>
  <w:style w:type="paragraph" w:styleId="1491" w:customStyle="1">
    <w:name w:val="_Маркер (номер) - с заголовком"/>
    <w:basedOn w:val="1139"/>
    <w:pPr>
      <w:jc w:val="left"/>
      <w:spacing w:before="240" w:line="360" w:lineRule="auto"/>
    </w:pPr>
    <w:rPr>
      <w:b/>
      <w:bCs/>
      <w:szCs w:val="20"/>
    </w:rPr>
  </w:style>
  <w:style w:type="table" w:styleId="1492" w:customStyle="1">
    <w:name w:val="Сетка таблицы1"/>
    <w:basedOn w:val="1150"/>
    <w:next w:val="145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93" w:customStyle="1">
    <w:name w:val="Неразрешенное упоминание1"/>
    <w:basedOn w:val="1149"/>
    <w:uiPriority w:val="99"/>
    <w:semiHidden/>
    <w:unhideWhenUsed/>
    <w:rPr>
      <w:color w:val="605e5c"/>
      <w:shd w:val="clear" w:color="auto" w:fill="e1dfdd"/>
    </w:rPr>
  </w:style>
  <w:style w:type="character" w:styleId="1494" w:customStyle="1">
    <w:name w:val="ConsPlusNormal Знак"/>
    <w:link w:val="1427"/>
    <w:rPr>
      <w:rFonts w:ascii="Arial" w:hAnsi="Arial" w:eastAsia="Times New Roman" w:cs="Arial"/>
      <w:sz w:val="20"/>
      <w:szCs w:val="20"/>
      <w:lang w:eastAsia="ru-RU"/>
    </w:rPr>
  </w:style>
  <w:style w:type="paragraph" w:styleId="1495" w:customStyle="1">
    <w:name w:val="Пункт_4"/>
    <w:basedOn w:val="1139"/>
    <w:link w:val="1496"/>
    <w:uiPriority w:val="99"/>
    <w:pPr>
      <w:spacing w:after="0"/>
    </w:pPr>
    <w:rPr>
      <w:sz w:val="28"/>
      <w:szCs w:val="20"/>
      <w:lang w:eastAsia="ko-KR"/>
    </w:rPr>
  </w:style>
  <w:style w:type="character" w:styleId="1496" w:customStyle="1">
    <w:name w:val="Пункт_4 Знак"/>
    <w:link w:val="1495"/>
    <w:uiPriority w:val="99"/>
    <w:rPr>
      <w:rFonts w:ascii="Times New Roman" w:hAnsi="Times New Roman" w:eastAsia="Times New Roman" w:cs="Times New Roman"/>
      <w:sz w:val="28"/>
      <w:szCs w:val="20"/>
      <w:lang w:eastAsia="ko-KR"/>
    </w:rPr>
  </w:style>
  <w:style w:type="table" w:styleId="1497" w:customStyle="1">
    <w:name w:val="Сетка таблицы2"/>
    <w:basedOn w:val="1150"/>
    <w:next w:val="145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98" w:customStyle="1">
    <w:name w:val="Default Знак"/>
    <w:link w:val="1469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499" w:customStyle="1">
    <w:name w:val="Нет"/>
  </w:style>
  <w:style w:type="character" w:styleId="1500" w:customStyle="1">
    <w:name w:val="Hyperlink.0"/>
    <w:basedOn w:val="1499"/>
  </w:style>
  <w:style w:type="character" w:styleId="1501" w:customStyle="1">
    <w:name w:val="Hyperlink.1"/>
    <w:rPr>
      <w:color w:val="0000ff"/>
      <w:u w:val="single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consultant.ru/document/cons_doc_LAW_116964/" TargetMode="External"/><Relationship Id="rId13" Type="http://schemas.openxmlformats.org/officeDocument/2006/relationships/hyperlink" Target="https://zakupki.gov.ru/epz/orderclause/card/common-info.html?orderClauseInfoId=967865" TargetMode="External"/><Relationship Id="rId14" Type="http://schemas.openxmlformats.org/officeDocument/2006/relationships/hyperlink" Target="http://www.consultant.ru/document/cons_doc_LAW_5142/" TargetMode="External"/><Relationship Id="rId15" Type="http://schemas.openxmlformats.org/officeDocument/2006/relationships/hyperlink" Target="https://zakupki.gov.ru/epz/orderclause/card/common-info.html?orderClauseInfoId=829138" TargetMode="External"/><Relationship Id="rId16" Type="http://schemas.openxmlformats.org/officeDocument/2006/relationships/hyperlink" Target="https://www.consultant.ru/document/cons_doc_LAW_421788/?ysclid=lh7gcn0ch0337012251" TargetMode="External"/><Relationship Id="rId17" Type="http://schemas.openxmlformats.org/officeDocument/2006/relationships/hyperlink" Target="https://www.consultant.ru/document/cons_doc_LAW_421788/?ysclid=lh7gd9qdev457426157" TargetMode="External"/><Relationship Id="rId18" Type="http://schemas.openxmlformats.org/officeDocument/2006/relationships/hyperlink" Target="http://www.consultant.ru/document/cons_doc_LAW_116964/" TargetMode="External"/><Relationship Id="rId19" Type="http://schemas.openxmlformats.org/officeDocument/2006/relationships/hyperlink" Target="https://www.consultant.ru/document/cons_doc_LAW_144624/?ysclid=lh7gqoclg7259684790" TargetMode="External"/><Relationship Id="rId20" Type="http://schemas.openxmlformats.org/officeDocument/2006/relationships/hyperlink" Target="https://zakupki.gov.ru/epz/orderclause/card/common-info.html?orderClauseInfoId=967865" TargetMode="External"/><Relationship Id="rId21" Type="http://schemas.openxmlformats.org/officeDocument/2006/relationships/hyperlink" Target="https://www.consultant.ru/document/cons_doc_LAW_494318/92d969e26a4326c5d02fa79b8f9cf4994ee5633b/" TargetMode="External"/><Relationship Id="rId22" Type="http://schemas.openxmlformats.org/officeDocument/2006/relationships/hyperlink" Target="https://www.rosseti-yantar.ru/about/politiks/antimonopolnyy-komplaens/" TargetMode="External"/><Relationship Id="rId23" Type="http://schemas.openxmlformats.org/officeDocument/2006/relationships/hyperlink" Target="file:///\\temp-fs.yantarenergo.ru\ia\&#1059;&#1050;&#1055;\&#1047;&#1040;&#1050;&#1056;&#1067;&#1058;&#1040;&#1071;\&#1058;&#1080;&#1087;&#1086;&#1074;&#1099;&#1077;%20&#1076;&#1086;&#1082;&#1091;&#1084;&#1077;&#1085;&#1090;&#1072;&#1094;&#1080;&#1080;\!&#1057;&#1088;&#1077;&#1076;&#1080;%20&#1074;&#1089;&#1077;&#1093;%202025\www.zakupki.gov.ru" TargetMode="External"/><Relationship Id="rId24" Type="http://schemas.openxmlformats.org/officeDocument/2006/relationships/hyperlink" Target="https://www.consultant.ru/document/cons_doc_LAW_5142/03edc46b2ef855fddfaaa3d77dac1d071ef3dba1/" TargetMode="External"/><Relationship Id="rId25" Type="http://schemas.openxmlformats.org/officeDocument/2006/relationships/hyperlink" Target="https://www.consultant.ru/document/cons_doc_LAW_5142/e8b1dba1c6def4f632470a9857908caf60fec137/" TargetMode="External"/><Relationship Id="rId26" Type="http://schemas.openxmlformats.org/officeDocument/2006/relationships/hyperlink" Target="https://www.consultant.ru/document/cons_doc_LAW_144624/af90cad46f4484d18fa490ef1c9d7a3b2fd3be3b/" TargetMode="External"/><Relationship Id="rId27" Type="http://schemas.openxmlformats.org/officeDocument/2006/relationships/hyperlink" Target="https://www.consultant.ru/document/cons_doc_LAW_494318/92d969e26a4326c5d02fa79b8f9cf4994ee5633b/" TargetMode="External"/><Relationship Id="rId28" Type="http://schemas.openxmlformats.org/officeDocument/2006/relationships/hyperlink" Target="https://www.consultant.ru/document/cons_doc_LAW_494318/92d969e26a4326c5d02fa79b8f9cf4994ee5633b/" TargetMode="External"/><Relationship Id="rId29" Type="http://schemas.openxmlformats.org/officeDocument/2006/relationships/hyperlink" Target="https://www.consultant.ru/document/cons_doc_LAW_5142/03edc46b2ef855fddfaaa3d77dac1d071ef3dba1/" TargetMode="External"/><Relationship Id="rId30" Type="http://schemas.openxmlformats.org/officeDocument/2006/relationships/hyperlink" Target="https://www.consultant.ru/document/cons_doc_LAW_5142/e8b1dba1c6def4f632470a9857908caf60fec137/" TargetMode="External"/><Relationship Id="rId31" Type="http://schemas.openxmlformats.org/officeDocument/2006/relationships/hyperlink" Target="https://www.consultant.ru/document/cons_doc_LAW_144624/af90cad46f4484d18fa490ef1c9d7a3b2fd3be3b/" TargetMode="External"/><Relationship Id="rId32" Type="http://schemas.openxmlformats.org/officeDocument/2006/relationships/hyperlink" Target="https://zakupki.gov.ru/epz/orderclause/card/common-info.html?orderClauseInfoId=967865" TargetMode="External"/><Relationship Id="rId33" Type="http://schemas.openxmlformats.org/officeDocument/2006/relationships/hyperlink" Target="https://www.consultant.ru/document/cons_doc_LAW_494318/92d969e26a4326c5d02fa79b8f9cf4994ee5633b/" TargetMode="External"/><Relationship Id="rId34" Type="http://schemas.openxmlformats.org/officeDocument/2006/relationships/hyperlink" Target="https://www.consultant.ru/document/cons_doc_LAW_494318/92d969e26a4326c5d02fa79b8f9cf4994ee5633b/" TargetMode="External"/><Relationship Id="rId35" Type="http://schemas.openxmlformats.org/officeDocument/2006/relationships/hyperlink" Target="http://Chegolya-AV@Rosseti-Yantar.ru" TargetMode="External"/><Relationship Id="rId36" Type="http://schemas.openxmlformats.org/officeDocument/2006/relationships/hyperlink" Target="http://Arefeva-MA@Rosseti-Yantar.Ru" TargetMode="External"/><Relationship Id="rId37" Type="http://schemas.openxmlformats.org/officeDocument/2006/relationships/hyperlink" Target="file:///C:\Users\&#1040;&#1083;&#1080;&#1085;&#1072;\Downloads\www.zakupki.gov.ru" TargetMode="External"/><Relationship Id="rId38" Type="http://schemas.openxmlformats.org/officeDocument/2006/relationships/hyperlink" Target="https://tender.lot-online.ru" TargetMode="External"/><Relationship Id="rId39" Type="http://schemas.openxmlformats.org/officeDocument/2006/relationships/hyperlink" Target="http://fssprus.ru/" TargetMode="External"/><Relationship Id="rId40" Type="http://schemas.openxmlformats.org/officeDocument/2006/relationships/hyperlink" Target="http://www.consultant.ru/document/cons_doc_LAW_34661/f61ff313afecf81a91a43d729c2df55c1d6a1533/" TargetMode="External"/><Relationship Id="rId41" Type="http://schemas.openxmlformats.org/officeDocument/2006/relationships/hyperlink" Target="https://zakupki.gov.ru/epz/dishonestsupplier/search/results.html" TargetMode="External"/><Relationship Id="rId42" Type="http://schemas.openxmlformats.org/officeDocument/2006/relationships/hyperlink" Target="https://www.consultant.ru/document/cons_doc_LAW_116964/a3b63487ad7d07ce045a07b0f1e7a9d9b064de95/?ysclid=lgq77170fl163638946" TargetMode="External"/><Relationship Id="rId43" Type="http://schemas.openxmlformats.org/officeDocument/2006/relationships/hyperlink" Target="https://zakupki.gov.ru/epz/dishonestsupplier/search/results.html" TargetMode="External"/><Relationship Id="rId44" Type="http://schemas.openxmlformats.org/officeDocument/2006/relationships/hyperlink" Target="https://www.consultant.ru/document/cons_doc_LAW_144624/af90cad46f4484d18fa490ef1c9d7a3b2fd3be3b/" TargetMode="External"/><Relationship Id="rId45" Type="http://schemas.openxmlformats.org/officeDocument/2006/relationships/hyperlink" Target="https://minjust.gov.ru/ru/activity/directions/998/" TargetMode="External"/><Relationship Id="rId46" Type="http://schemas.openxmlformats.org/officeDocument/2006/relationships/hyperlink" Target="https://www.consultant.ru/document/cons_doc_LAW_421788/?ysclid=lg20fc4h7v470804950" TargetMode="External"/><Relationship Id="rId47" Type="http://schemas.openxmlformats.org/officeDocument/2006/relationships/hyperlink" Target="https://www.consultant.ru/document/cons_doc_LAW_51040/f651879e0acd4680a6fdc29f983536624055cbcc/?ysclid=lh7dhcp1aq961991988" TargetMode="External"/><Relationship Id="rId48" Type="http://schemas.openxmlformats.org/officeDocument/2006/relationships/hyperlink" Target="https://nopriz.ru/" TargetMode="External"/><Relationship Id="rId49" Type="http://schemas.openxmlformats.org/officeDocument/2006/relationships/hyperlink" Target="https://www.consultant.ru/document/cons_doc_LAW_51040/b884020ea7453099ba8bc9ca021b84982cadea7d/?ysclid=lh7dkmbcyr186717647" TargetMode="External"/><Relationship Id="rId50" Type="http://schemas.openxmlformats.org/officeDocument/2006/relationships/hyperlink" Target="https://nopriz.ru/" TargetMode="External"/><Relationship Id="rId51" Type="http://schemas.openxmlformats.org/officeDocument/2006/relationships/hyperlink" Target="https://www.consultant.ru/document/cons_doc_LAW_51040/df32b8231cf067c4d4e864c717eb6b398358b504/?ysclid=lh7dmiyi73943741650" TargetMode="External"/><Relationship Id="rId52" Type="http://schemas.openxmlformats.org/officeDocument/2006/relationships/hyperlink" Target="https://nostroy.ru/" TargetMode="External"/><Relationship Id="rId53" Type="http://schemas.openxmlformats.org/officeDocument/2006/relationships/hyperlink" Target="https://service.nalog.ru/vyp/" TargetMode="External"/><Relationship Id="rId54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hyperlink" Target="consultantplus://offline/ref=B7E04B8F5BC345C22463EADCAE81D93CF4CA1215A36F6052F6BC85F6f9C8L" TargetMode="External"/><Relationship Id="rId57" Type="http://schemas.openxmlformats.org/officeDocument/2006/relationships/image" Target="media/image1.emf"/><Relationship Id="rId58" Type="http://schemas.openxmlformats.org/officeDocument/2006/relationships/hyperlink" Target="https://rosseti-yantar.ru/about/antikorruptsionnaya-politika/" TargetMode="External"/><Relationship Id="rId59" Type="http://schemas.openxmlformats.org/officeDocument/2006/relationships/hyperlink" Target="http://www.rosseti.ru/about/contacts/opin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cbr.ru/credit/." TargetMode="External"/><Relationship Id="rId2" Type="http://schemas.openxmlformats.org/officeDocument/2006/relationships/hyperlink" Target="https://www.cbr.ru/analytics/strform/." TargetMode="External"/><Relationship Id="rId3" Type="http://schemas.openxmlformats.org/officeDocument/2006/relationships/hyperlink" Target="http://www.asv.org.ru/guide/bank/" TargetMode="External"/><Relationship Id="rId4" Type="http://schemas.openxmlformats.org/officeDocument/2006/relationships/hyperlink" Target="http://www.cbr.ru/credit/." TargetMode="External"/><Relationship Id="rId5" Type="http://schemas.openxmlformats.org/officeDocument/2006/relationships/hyperlink" Target="http://www.cbr.ru/credit/" TargetMode="External"/><Relationship Id="rId6" Type="http://schemas.openxmlformats.org/officeDocument/2006/relationships/hyperlink" Target="http://www.cbr.ru/credit/." TargetMode="External"/><Relationship Id="rId7" Type="http://schemas.openxmlformats.org/officeDocument/2006/relationships/hyperlink" Target="https://www.cbr.ru/analytics/strform/." TargetMode="External"/><Relationship Id="rId8" Type="http://schemas.openxmlformats.org/officeDocument/2006/relationships/hyperlink" Target="http://www.asv.org.ru/guide/bank/" TargetMode="External"/><Relationship Id="rId9" Type="http://schemas.openxmlformats.org/officeDocument/2006/relationships/hyperlink" Target="http://www.cbr.ru/credit/." TargetMode="External"/><Relationship Id="rId10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AB41A-65F8-4E24-8689-D664CC78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Куманев Валентин Олегович</dc:creator>
  <cp:keywords/>
  <dc:description/>
  <cp:revision>20</cp:revision>
  <dcterms:created xsi:type="dcterms:W3CDTF">2020-03-31T12:58:00Z</dcterms:created>
  <dcterms:modified xsi:type="dcterms:W3CDTF">2026-06-04T10:43:18Z</dcterms:modified>
</cp:coreProperties>
</file>